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B0317A" w:rsidTr="00B0317A">
        <w:tc>
          <w:tcPr>
            <w:tcW w:w="10682" w:type="dxa"/>
          </w:tcPr>
          <w:p w:rsidR="00B0317A" w:rsidRPr="00B0317A" w:rsidRDefault="00B0317A" w:rsidP="00B0317A">
            <w:pPr>
              <w:spacing w:before="240"/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</w:pPr>
            <w:r w:rsidRPr="00B0317A">
              <w:rPr>
                <w:rFonts w:asciiTheme="majorHAnsi" w:hAnsiTheme="majorHAnsi"/>
                <w:b/>
                <w:color w:val="244061" w:themeColor="accent1" w:themeShade="80"/>
                <w:sz w:val="36"/>
                <w:szCs w:val="36"/>
              </w:rPr>
              <w:t>Обзор текущей ситуации на российском рынке</w:t>
            </w:r>
          </w:p>
        </w:tc>
      </w:tr>
      <w:tr w:rsidR="00B0317A" w:rsidTr="00B0317A">
        <w:tc>
          <w:tcPr>
            <w:tcW w:w="10682" w:type="dxa"/>
          </w:tcPr>
          <w:p w:rsidR="00B0317A" w:rsidRPr="00242904" w:rsidRDefault="00012A3F" w:rsidP="00B0317A">
            <w:pPr>
              <w:rPr>
                <w:rFonts w:asciiTheme="majorHAnsi" w:hAnsiTheme="majorHAnsi"/>
                <w:color w:val="244061" w:themeColor="accent1" w:themeShade="80"/>
                <w:sz w:val="36"/>
                <w:szCs w:val="36"/>
                <w:lang w:val="en-US"/>
              </w:rPr>
            </w:pP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0</w:t>
            </w:r>
            <w:r w:rsidR="008D4AC8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1</w:t>
            </w:r>
            <w:r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.04</w:t>
            </w:r>
            <w:r w:rsidR="00B0317A" w:rsidRPr="00B0317A">
              <w:rPr>
                <w:rFonts w:asciiTheme="majorHAnsi" w:hAnsiTheme="majorHAnsi"/>
                <w:color w:val="244061" w:themeColor="accent1" w:themeShade="80"/>
                <w:sz w:val="36"/>
                <w:szCs w:val="36"/>
              </w:rPr>
              <w:t>.2015</w:t>
            </w:r>
          </w:p>
        </w:tc>
      </w:tr>
    </w:tbl>
    <w:p w:rsidR="00CA381E" w:rsidRDefault="00CA381E"/>
    <w:tbl>
      <w:tblPr>
        <w:tblStyle w:val="a3"/>
        <w:tblW w:w="116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945"/>
      </w:tblGrid>
      <w:tr w:rsidR="00A071AB" w:rsidTr="00EB3766">
        <w:trPr>
          <w:trHeight w:val="3796"/>
        </w:trPr>
        <w:tc>
          <w:tcPr>
            <w:tcW w:w="5671" w:type="dxa"/>
          </w:tcPr>
          <w:p w:rsidR="00A071AB" w:rsidRDefault="00012A3F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63101" cy="999635"/>
                  <wp:effectExtent l="19050" t="0" r="0" b="0"/>
                  <wp:docPr id="16" name="Рисунок 13" descr="MICEX IND (MICEXINDEXCF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ICEX IND (MICEXINDEXCF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289" cy="1005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63101" cy="999636"/>
                  <wp:effectExtent l="19050" t="0" r="0" b="0"/>
                  <wp:docPr id="17" name="Рисунок 16" descr="RTSI INDEX (RTS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TSI INDEX (RTS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406" cy="1001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012A3F" w:rsidP="00A071AB">
            <w:r>
              <w:rPr>
                <w:noProof/>
                <w:lang w:eastAsia="ru-RU"/>
              </w:rPr>
              <w:drawing>
                <wp:inline distT="0" distB="0" distL="0" distR="0">
                  <wp:extent cx="1679166" cy="1078302"/>
                  <wp:effectExtent l="19050" t="0" r="0" b="0"/>
                  <wp:docPr id="18" name="Рисунок 19" descr="MICEX CBI TR (MICEXCBITR.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EX CBI TR (MICEXCBITR.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163" cy="107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76F8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06605" cy="1078301"/>
                  <wp:effectExtent l="19050" t="0" r="7895" b="0"/>
                  <wp:docPr id="22" name="Рисунок 22" descr="RTSVX E (RTSVX_E.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TSVX E (RTSVX_E.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33" cy="1078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5" w:type="dxa"/>
          </w:tcPr>
          <w:p w:rsidR="00A071AB" w:rsidRDefault="00E22F7D" w:rsidP="00A071AB">
            <w:r>
              <w:t xml:space="preserve"> </w:t>
            </w:r>
            <w:r w:rsidR="00012A3F">
              <w:rPr>
                <w:noProof/>
                <w:lang w:eastAsia="ru-RU"/>
              </w:rPr>
              <w:drawing>
                <wp:inline distT="0" distB="0" distL="0" distR="0">
                  <wp:extent cx="1736573" cy="1043796"/>
                  <wp:effectExtent l="19050" t="0" r="0" b="0"/>
                  <wp:docPr id="11" name="Рисунок 1" descr="S&amp;P 500 (^GSP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&amp;P 500 (^GSP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164" cy="1049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012A3F">
              <w:rPr>
                <w:noProof/>
                <w:lang w:eastAsia="ru-RU"/>
              </w:rPr>
              <w:drawing>
                <wp:inline distT="0" distB="0" distL="0" distR="0">
                  <wp:extent cx="1714859" cy="1030746"/>
                  <wp:effectExtent l="19050" t="0" r="0" b="0"/>
                  <wp:docPr id="12" name="Рисунок 4" descr="VOLATILITY S&amp;P 500 (^VIX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OLATILITY S&amp;P 500 (^VIX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859" cy="1030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766" w:rsidRDefault="00EB3766" w:rsidP="00A071AB"/>
          <w:p w:rsidR="002676F8" w:rsidRDefault="002676F8" w:rsidP="002676F8">
            <w:r>
              <w:t xml:space="preserve"> </w:t>
            </w:r>
            <w:r w:rsidR="00012A3F">
              <w:rPr>
                <w:noProof/>
                <w:lang w:eastAsia="ru-RU"/>
              </w:rPr>
              <w:drawing>
                <wp:inline distT="0" distB="0" distL="0" distR="0">
                  <wp:extent cx="1736571" cy="1112807"/>
                  <wp:effectExtent l="19050" t="0" r="0" b="0"/>
                  <wp:docPr id="14" name="Рисунок 7" descr="NASDAQ Composite (^IX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SDAQ Composite (^IXI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153" cy="111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012A3F">
              <w:rPr>
                <w:noProof/>
                <w:lang w:eastAsia="ru-RU"/>
              </w:rPr>
              <w:drawing>
                <wp:inline distT="0" distB="0" distL="0" distR="0">
                  <wp:extent cx="1706605" cy="1120674"/>
                  <wp:effectExtent l="19050" t="0" r="7895" b="0"/>
                  <wp:docPr id="15" name="Рисунок 10" descr="FTSE 100 (^FT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TSE 100 (^FTS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908" cy="1122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232" w:rsidRPr="0006497B" w:rsidRDefault="00A13582" w:rsidP="003F0AF5">
      <w:pPr>
        <w:spacing w:after="0"/>
        <w:jc w:val="both"/>
        <w:rPr>
          <w:b/>
          <w:i/>
          <w:color w:val="365F91" w:themeColor="accent1" w:themeShade="BF"/>
          <w:sz w:val="24"/>
        </w:rPr>
      </w:pPr>
      <w:r w:rsidRPr="0088245C">
        <w:rPr>
          <w:b/>
          <w:i/>
          <w:color w:val="365F91" w:themeColor="accent1" w:themeShade="BF"/>
          <w:sz w:val="24"/>
        </w:rPr>
        <w:t xml:space="preserve">События в России </w:t>
      </w:r>
    </w:p>
    <w:p w:rsidR="006E44AB" w:rsidRPr="005634EB" w:rsidRDefault="006E44AB" w:rsidP="005634EB">
      <w:pPr>
        <w:pStyle w:val="ac"/>
        <w:numPr>
          <w:ilvl w:val="0"/>
          <w:numId w:val="27"/>
        </w:numPr>
        <w:spacing w:after="0" w:line="240" w:lineRule="auto"/>
        <w:jc w:val="both"/>
        <w:rPr>
          <w:sz w:val="24"/>
        </w:rPr>
      </w:pPr>
      <w:r w:rsidRPr="005634EB">
        <w:rPr>
          <w:sz w:val="24"/>
        </w:rPr>
        <w:t>На графике ниже представлена динамика внешнего долга РФ за 12 лет.  Наибольший вклад в снижение объемов долга внесли отнюдь не банки, а «прочие сектора», в основном, конечно, компании реального сектора. По состоянию на начало 2015 года совокупный внешний долг в номинальном выражении находился чуть выше уровней 2008 года.</w:t>
      </w:r>
      <w:r w:rsidR="005634EB">
        <w:rPr>
          <w:sz w:val="24"/>
        </w:rPr>
        <w:t xml:space="preserve"> </w:t>
      </w:r>
      <w:r w:rsidR="00F16F1D">
        <w:rPr>
          <w:sz w:val="24"/>
        </w:rPr>
        <w:t xml:space="preserve">Выплата внешнего долга, как одна из форм оттока капитала, несомненно, давит на курс национальной валюты. В условиях продолжающихся секторальных санкций отток «сверх нормы» продолжится, однако </w:t>
      </w:r>
      <w:r w:rsidR="0094278F">
        <w:rPr>
          <w:sz w:val="24"/>
        </w:rPr>
        <w:t xml:space="preserve">больших просадок в рубле на этом </w:t>
      </w:r>
      <w:proofErr w:type="gramStart"/>
      <w:r w:rsidR="0094278F">
        <w:rPr>
          <w:sz w:val="24"/>
        </w:rPr>
        <w:t>фоне</w:t>
      </w:r>
      <w:proofErr w:type="gramEnd"/>
      <w:r w:rsidR="0094278F">
        <w:rPr>
          <w:sz w:val="24"/>
        </w:rPr>
        <w:t xml:space="preserve"> скорее всего уже не случится по нескольким причинам: </w:t>
      </w:r>
      <w:r w:rsidR="00664B82">
        <w:rPr>
          <w:sz w:val="24"/>
        </w:rPr>
        <w:t xml:space="preserve">выплаты долга становятся не шоком, а скорее фактором сезонности, поскольку всем участникам рынка в той или иной степени известен график гашения долга (публикуется ЦБ); </w:t>
      </w:r>
      <w:proofErr w:type="spellStart"/>
      <w:proofErr w:type="gramStart"/>
      <w:r w:rsidR="00664B82">
        <w:rPr>
          <w:sz w:val="24"/>
        </w:rPr>
        <w:t>бОльшая</w:t>
      </w:r>
      <w:proofErr w:type="spellEnd"/>
      <w:r w:rsidR="00664B82">
        <w:rPr>
          <w:sz w:val="24"/>
        </w:rPr>
        <w:t xml:space="preserve"> часть крупных компаний за 2014 год уже значительно сократила долю иностранных кредитов в структуре долга (см. </w:t>
      </w:r>
      <w:proofErr w:type="gramEnd"/>
      <w:r w:rsidR="00664B82">
        <w:rPr>
          <w:sz w:val="24"/>
        </w:rPr>
        <w:t xml:space="preserve">предыдущие обзоры); пик гашений долга в этом году уже пройден.  </w:t>
      </w:r>
    </w:p>
    <w:p w:rsidR="00130F2F" w:rsidRDefault="00BB2B2A" w:rsidP="00BB2B2A">
      <w:pPr>
        <w:spacing w:after="0" w:line="240" w:lineRule="auto"/>
        <w:jc w:val="center"/>
        <w:rPr>
          <w:b/>
          <w:sz w:val="20"/>
        </w:rPr>
      </w:pPr>
      <w:r w:rsidRPr="00BB2B2A">
        <w:rPr>
          <w:b/>
          <w:noProof/>
          <w:sz w:val="20"/>
          <w:lang w:eastAsia="ru-RU"/>
        </w:rPr>
        <w:drawing>
          <wp:inline distT="0" distB="0" distL="0" distR="0">
            <wp:extent cx="6152515" cy="3051175"/>
            <wp:effectExtent l="0" t="0" r="0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F46C3" w:rsidRPr="00EF46C3" w:rsidRDefault="00EF46C3" w:rsidP="00EF46C3">
      <w:pPr>
        <w:pStyle w:val="ac"/>
        <w:numPr>
          <w:ilvl w:val="0"/>
          <w:numId w:val="27"/>
        </w:numPr>
        <w:spacing w:after="0" w:line="240" w:lineRule="auto"/>
        <w:ind w:left="709" w:hanging="643"/>
        <w:jc w:val="both"/>
        <w:rPr>
          <w:sz w:val="28"/>
          <w:szCs w:val="24"/>
        </w:rPr>
      </w:pPr>
      <w:r w:rsidRPr="00EF46C3">
        <w:rPr>
          <w:sz w:val="24"/>
        </w:rPr>
        <w:lastRenderedPageBreak/>
        <w:t xml:space="preserve">В Еврозоне крупнейшим потенциальным риском остается риск дефляции, несмотря на политику количественного смягчения ЕЦБ, говорится в обзоре </w:t>
      </w:r>
      <w:proofErr w:type="spellStart"/>
      <w:r w:rsidRPr="00EF46C3">
        <w:rPr>
          <w:sz w:val="24"/>
        </w:rPr>
        <w:t>Fitch</w:t>
      </w:r>
      <w:proofErr w:type="spellEnd"/>
      <w:r w:rsidRPr="00EF46C3">
        <w:rPr>
          <w:sz w:val="24"/>
        </w:rPr>
        <w:t>. Базовая инфляция (</w:t>
      </w:r>
      <w:proofErr w:type="gramStart"/>
      <w:r w:rsidRPr="00EF46C3">
        <w:rPr>
          <w:sz w:val="24"/>
        </w:rPr>
        <w:t>см</w:t>
      </w:r>
      <w:proofErr w:type="gramEnd"/>
      <w:r w:rsidRPr="00EF46C3">
        <w:rPr>
          <w:sz w:val="24"/>
        </w:rPr>
        <w:t xml:space="preserve">. график </w:t>
      </w:r>
      <w:r w:rsidRPr="00EF46C3">
        <w:rPr>
          <w:sz w:val="24"/>
          <w:lang w:val="en-US"/>
        </w:rPr>
        <w:t>CPI</w:t>
      </w:r>
      <w:r w:rsidRPr="00EF46C3">
        <w:rPr>
          <w:sz w:val="24"/>
        </w:rPr>
        <w:t xml:space="preserve"> </w:t>
      </w:r>
      <w:proofErr w:type="spellStart"/>
      <w:r w:rsidRPr="00EF46C3">
        <w:rPr>
          <w:sz w:val="24"/>
          <w:lang w:val="en-US"/>
        </w:rPr>
        <w:t>YoY</w:t>
      </w:r>
      <w:proofErr w:type="spellEnd"/>
      <w:r w:rsidRPr="00EF46C3">
        <w:rPr>
          <w:sz w:val="24"/>
        </w:rPr>
        <w:t xml:space="preserve"> на графике ниже) остается на низком уровне, а долгосрочные инфляционные ожидания по-прежнему ниже целевого уровня ЕЦБ. Программа количественного смягчения должна помочь снизить риск длительной дефляции в Еврозоне путем ослабления евро, отмечают в агентстве. Падение цен на нефть </w:t>
      </w:r>
      <w:proofErr w:type="spellStart"/>
      <w:r w:rsidRPr="00EF46C3">
        <w:rPr>
          <w:sz w:val="24"/>
        </w:rPr>
        <w:t>простимулирует</w:t>
      </w:r>
      <w:proofErr w:type="spellEnd"/>
      <w:r w:rsidRPr="00EF46C3">
        <w:rPr>
          <w:sz w:val="24"/>
        </w:rPr>
        <w:t xml:space="preserve"> расходы и рост экономик в развитых странах. В то же время, длительное сохранение низких цен на нефть может негативно повлиять на эмитентов, зависимых от нефти в связи с сокращением выручки и денежных потоков, пишут аналитики агентства. </w:t>
      </w:r>
      <w:proofErr w:type="gramStart"/>
      <w:r w:rsidRPr="00EF46C3">
        <w:rPr>
          <w:sz w:val="24"/>
        </w:rPr>
        <w:t>(Источник:</w:t>
      </w:r>
      <w:proofErr w:type="gramEnd"/>
      <w:r w:rsidRPr="00EF46C3">
        <w:rPr>
          <w:sz w:val="24"/>
        </w:rPr>
        <w:t xml:space="preserve"> </w:t>
      </w:r>
      <w:proofErr w:type="gramStart"/>
      <w:r w:rsidRPr="00EF46C3">
        <w:rPr>
          <w:sz w:val="24"/>
        </w:rPr>
        <w:t>РЦБ)</w:t>
      </w:r>
      <w:proofErr w:type="gramEnd"/>
    </w:p>
    <w:p w:rsidR="007F6603" w:rsidRDefault="00EF46C3" w:rsidP="00EF46C3">
      <w:pPr>
        <w:pStyle w:val="ac"/>
        <w:spacing w:after="0" w:line="240" w:lineRule="auto"/>
        <w:ind w:left="42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43395" cy="237795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57" cy="237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6C3" w:rsidRPr="00BC7018" w:rsidRDefault="00EF46C3" w:rsidP="00BC7018">
      <w:pPr>
        <w:pStyle w:val="af2"/>
        <w:numPr>
          <w:ilvl w:val="0"/>
          <w:numId w:val="27"/>
        </w:numPr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BC7018">
        <w:rPr>
          <w:rFonts w:asciiTheme="minorHAnsi" w:eastAsiaTheme="minorHAnsi" w:hAnsiTheme="minorHAnsi" w:cstheme="minorBidi"/>
          <w:szCs w:val="22"/>
          <w:lang w:val="en-US" w:eastAsia="en-US"/>
        </w:rPr>
        <w:t>Fitch</w:t>
      </w:r>
      <w:r w:rsidRPr="00F16F1D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BC7018">
        <w:rPr>
          <w:rFonts w:asciiTheme="minorHAnsi" w:eastAsiaTheme="minorHAnsi" w:hAnsiTheme="minorHAnsi" w:cstheme="minorBidi"/>
          <w:szCs w:val="22"/>
          <w:lang w:val="en-US" w:eastAsia="en-US"/>
        </w:rPr>
        <w:t>Ratings</w:t>
      </w:r>
      <w:r w:rsidRPr="00F16F1D">
        <w:rPr>
          <w:rFonts w:asciiTheme="minorHAnsi" w:eastAsiaTheme="minorHAnsi" w:hAnsiTheme="minorHAnsi" w:cstheme="minorBidi"/>
          <w:szCs w:val="22"/>
          <w:lang w:eastAsia="en-US"/>
        </w:rPr>
        <w:t xml:space="preserve"> опубликовало новый аналитический бюллетень, посвященный российскому сектору продуктового </w:t>
      </w:r>
      <w:proofErr w:type="spellStart"/>
      <w:r w:rsidRPr="00F16F1D">
        <w:rPr>
          <w:rFonts w:asciiTheme="minorHAnsi" w:eastAsiaTheme="minorHAnsi" w:hAnsiTheme="minorHAnsi" w:cstheme="minorBidi"/>
          <w:szCs w:val="22"/>
          <w:lang w:eastAsia="en-US"/>
        </w:rPr>
        <w:t>ритейла</w:t>
      </w:r>
      <w:proofErr w:type="spellEnd"/>
      <w:r w:rsidRPr="00F16F1D">
        <w:rPr>
          <w:rFonts w:asciiTheme="minorHAnsi" w:eastAsiaTheme="minorHAnsi" w:hAnsiTheme="minorHAnsi" w:cstheme="minorBidi"/>
          <w:szCs w:val="22"/>
          <w:lang w:eastAsia="en-US"/>
        </w:rPr>
        <w:t xml:space="preserve"> в 1 полугодии 2015 г., в котором рассматривается влияние сложной экономической среды в России на операционные показатели и кредитоспособность крупнейших компаний этого сектора в 2015 г.</w:t>
      </w:r>
      <w:r w:rsidR="00BC7018" w:rsidRPr="00F16F1D">
        <w:rPr>
          <w:rFonts w:asciiTheme="minorHAnsi" w:eastAsiaTheme="minorHAnsi" w:hAnsiTheme="minorHAnsi" w:cstheme="minorBidi"/>
          <w:szCs w:val="22"/>
          <w:lang w:eastAsia="en-US"/>
        </w:rPr>
        <w:t xml:space="preserve"> В сообщении отмечается, что розничные сети, специализирующиеся на экономичном формате магазинов, будут иметь лучшие позиции, чтобы справиться с экономическим спадом и занять дополнительную долю рынка, а также ускорить открытие новых магазинов. </w:t>
      </w:r>
      <w:r w:rsidR="00BC7018">
        <w:rPr>
          <w:rFonts w:asciiTheme="minorHAnsi" w:eastAsiaTheme="minorHAnsi" w:hAnsiTheme="minorHAnsi" w:cstheme="minorBidi"/>
          <w:szCs w:val="22"/>
          <w:lang w:eastAsia="en-US"/>
        </w:rPr>
        <w:t xml:space="preserve">Среди фаворитов отрасли остаются Магнит и </w:t>
      </w:r>
      <w:r w:rsidR="00BC7018">
        <w:rPr>
          <w:rFonts w:asciiTheme="minorHAnsi" w:eastAsiaTheme="minorHAnsi" w:hAnsiTheme="minorHAnsi" w:cstheme="minorBidi"/>
          <w:szCs w:val="22"/>
          <w:lang w:val="en-US" w:eastAsia="en-US"/>
        </w:rPr>
        <w:t>X</w:t>
      </w:r>
      <w:r w:rsidR="00BC7018" w:rsidRPr="00BC7018">
        <w:rPr>
          <w:rFonts w:asciiTheme="minorHAnsi" w:eastAsiaTheme="minorHAnsi" w:hAnsiTheme="minorHAnsi" w:cstheme="minorBidi"/>
          <w:szCs w:val="22"/>
          <w:lang w:eastAsia="en-US"/>
        </w:rPr>
        <w:t>5</w:t>
      </w:r>
      <w:r w:rsidR="00BC7018">
        <w:rPr>
          <w:rFonts w:asciiTheme="minorHAnsi" w:eastAsiaTheme="minorHAnsi" w:hAnsiTheme="minorHAnsi" w:cstheme="minorBidi"/>
          <w:szCs w:val="22"/>
          <w:lang w:eastAsia="en-US"/>
        </w:rPr>
        <w:t xml:space="preserve">, высокие темпы роста показывает </w:t>
      </w:r>
      <w:proofErr w:type="spellStart"/>
      <w:r w:rsidR="00BC7018">
        <w:rPr>
          <w:rFonts w:asciiTheme="minorHAnsi" w:eastAsiaTheme="minorHAnsi" w:hAnsiTheme="minorHAnsi" w:cstheme="minorBidi"/>
          <w:szCs w:val="22"/>
          <w:lang w:eastAsia="en-US"/>
        </w:rPr>
        <w:t>ритейлер</w:t>
      </w:r>
      <w:proofErr w:type="spellEnd"/>
      <w:proofErr w:type="gramStart"/>
      <w:r w:rsidR="00BC7018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proofErr w:type="spellStart"/>
      <w:r w:rsidR="00BC7018">
        <w:rPr>
          <w:rFonts w:asciiTheme="minorHAnsi" w:eastAsiaTheme="minorHAnsi" w:hAnsiTheme="minorHAnsi" w:cstheme="minorBidi"/>
          <w:szCs w:val="22"/>
          <w:lang w:eastAsia="en-US"/>
        </w:rPr>
        <w:t>О</w:t>
      </w:r>
      <w:proofErr w:type="gramEnd"/>
      <w:r w:rsidR="00BC7018" w:rsidRPr="00BC7018">
        <w:rPr>
          <w:rFonts w:asciiTheme="minorHAnsi" w:eastAsiaTheme="minorHAnsi" w:hAnsiTheme="minorHAnsi" w:cstheme="minorBidi"/>
          <w:szCs w:val="22"/>
          <w:lang w:eastAsia="en-US"/>
        </w:rPr>
        <w:t>’</w:t>
      </w:r>
      <w:r w:rsidR="00BC7018">
        <w:rPr>
          <w:rFonts w:asciiTheme="minorHAnsi" w:eastAsiaTheme="minorHAnsi" w:hAnsiTheme="minorHAnsi" w:cstheme="minorBidi"/>
          <w:szCs w:val="22"/>
          <w:lang w:eastAsia="en-US"/>
        </w:rPr>
        <w:t>Кей</w:t>
      </w:r>
      <w:proofErr w:type="spellEnd"/>
      <w:r w:rsidR="00BC7018">
        <w:rPr>
          <w:rFonts w:asciiTheme="minorHAnsi" w:eastAsiaTheme="minorHAnsi" w:hAnsiTheme="minorHAnsi" w:cstheme="minorBidi"/>
          <w:szCs w:val="22"/>
          <w:lang w:eastAsia="en-US"/>
        </w:rPr>
        <w:t xml:space="preserve">, чей рейтинг был подтвержден на уровне </w:t>
      </w:r>
      <w:r w:rsidR="00BC7018">
        <w:rPr>
          <w:rFonts w:asciiTheme="minorHAnsi" w:eastAsiaTheme="minorHAnsi" w:hAnsiTheme="minorHAnsi" w:cstheme="minorBidi"/>
          <w:szCs w:val="22"/>
          <w:lang w:val="en-US" w:eastAsia="en-US"/>
        </w:rPr>
        <w:t>B</w:t>
      </w:r>
      <w:r w:rsidR="00BC7018" w:rsidRPr="00BC7018">
        <w:rPr>
          <w:rFonts w:asciiTheme="minorHAnsi" w:eastAsiaTheme="minorHAnsi" w:hAnsiTheme="minorHAnsi" w:cstheme="minorBidi"/>
          <w:szCs w:val="22"/>
          <w:lang w:eastAsia="en-US"/>
        </w:rPr>
        <w:t>+ (</w:t>
      </w:r>
      <w:r w:rsidR="00BC7018">
        <w:rPr>
          <w:rFonts w:asciiTheme="minorHAnsi" w:eastAsiaTheme="minorHAnsi" w:hAnsiTheme="minorHAnsi" w:cstheme="minorBidi"/>
          <w:szCs w:val="22"/>
          <w:lang w:eastAsia="en-US"/>
        </w:rPr>
        <w:t xml:space="preserve">прогноз «Стабильный»). </w:t>
      </w: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 w:rsidP="002E58B2">
      <w:pPr>
        <w:spacing w:after="0" w:line="240" w:lineRule="auto"/>
        <w:jc w:val="both"/>
        <w:rPr>
          <w:b/>
          <w:sz w:val="20"/>
        </w:rPr>
      </w:pPr>
    </w:p>
    <w:p w:rsidR="008D4AC8" w:rsidRDefault="008D4AC8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914B13" w:rsidRDefault="00914B13">
      <w:pPr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492A05" w:rsidRDefault="00492A05" w:rsidP="002E58B2">
      <w:pPr>
        <w:spacing w:after="0" w:line="240" w:lineRule="auto"/>
        <w:jc w:val="both"/>
        <w:rPr>
          <w:b/>
          <w:sz w:val="20"/>
        </w:rPr>
      </w:pPr>
    </w:p>
    <w:p w:rsidR="000828E3" w:rsidRPr="0042415E" w:rsidRDefault="000828E3" w:rsidP="002E58B2">
      <w:pPr>
        <w:spacing w:after="0" w:line="240" w:lineRule="auto"/>
        <w:jc w:val="both"/>
        <w:rPr>
          <w:b/>
          <w:sz w:val="20"/>
        </w:rPr>
      </w:pPr>
      <w:r>
        <w:rPr>
          <w:b/>
          <w:sz w:val="20"/>
          <w:lang w:val="en-US"/>
        </w:rPr>
        <w:t>Disclaimer</w:t>
      </w:r>
    </w:p>
    <w:p w:rsidR="00FB420D" w:rsidRPr="00DD51E7" w:rsidRDefault="00A071AB" w:rsidP="002E58B2">
      <w:pPr>
        <w:spacing w:after="0" w:line="240" w:lineRule="auto"/>
        <w:jc w:val="both"/>
        <w:rPr>
          <w:sz w:val="20"/>
        </w:rPr>
      </w:pPr>
      <w:r w:rsidRPr="00DD51E7">
        <w:rPr>
          <w:sz w:val="18"/>
        </w:rPr>
        <w:lastRenderedPageBreak/>
        <w:t>Приведенная информация не содержит инвестиционных советов, предоставляется исключительно в информационных целях и не является консультацией, офертой, требованием, просьбой или рекомендацией продать, купить или предоставить (напрямую или косвенно) какие-либо бумаги или производные инструменты. Вся информация получена из открытых источников, признанных н</w:t>
      </w:r>
      <w:r w:rsidR="00DC62EB" w:rsidRPr="00DD51E7">
        <w:rPr>
          <w:sz w:val="18"/>
        </w:rPr>
        <w:t>адежными, однак</w:t>
      </w:r>
      <w:proofErr w:type="gramStart"/>
      <w:r w:rsidR="00DC62EB" w:rsidRPr="00DD51E7">
        <w:rPr>
          <w:sz w:val="18"/>
        </w:rPr>
        <w:t>о ООО</w:t>
      </w:r>
      <w:proofErr w:type="gramEnd"/>
      <w:r w:rsidR="00DC62EB" w:rsidRPr="00DD51E7">
        <w:rPr>
          <w:sz w:val="18"/>
        </w:rPr>
        <w:t xml:space="preserve"> «Пермская фондовая к</w:t>
      </w:r>
      <w:r w:rsidRPr="00DD51E7">
        <w:rPr>
          <w:sz w:val="18"/>
        </w:rPr>
        <w:t xml:space="preserve">омпания» не несет ответственности за достоверность данных, приведенных в данном отчете.  </w:t>
      </w:r>
      <w:r w:rsidR="00DC62EB" w:rsidRPr="00DD51E7">
        <w:rPr>
          <w:sz w:val="18"/>
        </w:rPr>
        <w:t>Б</w:t>
      </w:r>
      <w:r w:rsidRPr="00DD51E7">
        <w:rPr>
          <w:sz w:val="18"/>
        </w:rPr>
        <w:t xml:space="preserve">удет </w:t>
      </w:r>
      <w:r w:rsidR="00DC62EB" w:rsidRPr="00DD51E7">
        <w:rPr>
          <w:sz w:val="18"/>
        </w:rPr>
        <w:t xml:space="preserve">также </w:t>
      </w:r>
      <w:r w:rsidRPr="00DD51E7">
        <w:rPr>
          <w:sz w:val="18"/>
        </w:rPr>
        <w:t>считаться, что любой инвестор,  получивший данную информацию, составил собственное мнение относительно перспектив инвестирования в те или иные инструменты, упомянутые выше, и действовал на основан</w:t>
      </w:r>
      <w:r w:rsidR="00DC62EB" w:rsidRPr="00DD51E7">
        <w:rPr>
          <w:sz w:val="18"/>
        </w:rPr>
        <w:t>ии этого мнения. ООО «Пермская фондовая к</w:t>
      </w:r>
      <w:r w:rsidRPr="00DD51E7">
        <w:rPr>
          <w:sz w:val="18"/>
        </w:rPr>
        <w:t xml:space="preserve">омпания» снимает с себя любую ответственность за прямой или косвенный ущерб, потери или издержки, которые могли возникнуть вследствие использования информации, приведенной в данном обзоре. </w:t>
      </w:r>
    </w:p>
    <w:sectPr w:rsidR="00FB420D" w:rsidRPr="00DD51E7" w:rsidSect="00123F1B">
      <w:headerReference w:type="default" r:id="rId19"/>
      <w:footerReference w:type="default" r:id="rId20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4AB" w:rsidRDefault="009614AB" w:rsidP="00A071AB">
      <w:pPr>
        <w:spacing w:after="0" w:line="240" w:lineRule="auto"/>
      </w:pPr>
      <w:r>
        <w:separator/>
      </w:r>
    </w:p>
  </w:endnote>
  <w:endnote w:type="continuationSeparator" w:id="0">
    <w:p w:rsidR="009614AB" w:rsidRDefault="009614AB" w:rsidP="00A0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17A" w:rsidRPr="00B0317A" w:rsidRDefault="00B0317A">
    <w:pPr>
      <w:pStyle w:val="a5"/>
      <w:rPr>
        <w:color w:val="17365D" w:themeColor="text2" w:themeShade="BF"/>
      </w:rPr>
    </w:pPr>
    <w:r w:rsidRPr="00B0317A">
      <w:rPr>
        <w:color w:val="17365D" w:themeColor="text2" w:themeShade="BF"/>
      </w:rPr>
      <w:t>ООО «Пермская фондовая компания»</w:t>
    </w:r>
    <w:r>
      <w:rPr>
        <w:color w:val="17365D" w:themeColor="text2" w:themeShade="BF"/>
      </w:rPr>
      <w:t xml:space="preserve">                                                                    т</w:t>
    </w:r>
    <w:r w:rsidRPr="00B0317A">
      <w:rPr>
        <w:color w:val="17365D" w:themeColor="text2" w:themeShade="BF"/>
      </w:rPr>
      <w:t>рейдеры (342) 210-59-64, 210-59-76</w:t>
    </w:r>
  </w:p>
  <w:p w:rsidR="00C94181" w:rsidRPr="00A071AB" w:rsidRDefault="009614AB" w:rsidP="00A07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4AB" w:rsidRDefault="009614AB" w:rsidP="00A071AB">
      <w:pPr>
        <w:spacing w:after="0" w:line="240" w:lineRule="auto"/>
      </w:pPr>
      <w:r>
        <w:separator/>
      </w:r>
    </w:p>
  </w:footnote>
  <w:footnote w:type="continuationSeparator" w:id="0">
    <w:p w:rsidR="009614AB" w:rsidRDefault="009614AB" w:rsidP="00A0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1B" w:rsidRPr="00123F1B" w:rsidRDefault="00123F1B" w:rsidP="00123F1B">
    <w:pPr>
      <w:pStyle w:val="aa"/>
      <w:tabs>
        <w:tab w:val="clear" w:pos="4677"/>
        <w:tab w:val="clear" w:pos="9355"/>
        <w:tab w:val="left" w:pos="3030"/>
      </w:tabs>
    </w:pPr>
    <w:r w:rsidRPr="00123F1B">
      <w:t xml:space="preserve">  </w:t>
    </w:r>
    <w:r w:rsidR="00B0317A">
      <w:rPr>
        <w:noProof/>
        <w:lang w:eastAsia="ru-RU"/>
      </w:rPr>
      <w:drawing>
        <wp:inline distT="0" distB="0" distL="0" distR="0">
          <wp:extent cx="1227519" cy="413468"/>
          <wp:effectExtent l="0" t="0" r="0" b="0"/>
          <wp:docPr id="2" name="Рисунок 2" descr="C:\Documents and Settings\alena\Мои документы\Лого ГК\Logo ПФК —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lena\Мои документы\Лого ГК\Logo ПФК — копия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62" cy="413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123F1B">
      <w:rPr>
        <w:b/>
      </w:rPr>
      <w:t xml:space="preserve">           </w:t>
    </w:r>
    <w:r w:rsidRPr="00123F1B">
      <w:rPr>
        <w:b/>
        <w:sz w:val="32"/>
        <w:szCs w:val="32"/>
      </w:rPr>
      <w:t xml:space="preserve">                                              </w:t>
    </w:r>
    <w:r>
      <w:rPr>
        <w:b/>
        <w:sz w:val="32"/>
        <w:szCs w:val="32"/>
      </w:rPr>
      <w:t xml:space="preserve">                          </w:t>
    </w:r>
    <w:r w:rsidRPr="00123F1B">
      <w:rPr>
        <w:b/>
        <w:color w:val="17365D" w:themeColor="text2" w:themeShade="BF"/>
        <w:sz w:val="32"/>
        <w:szCs w:val="32"/>
        <w:lang w:val="en-US"/>
      </w:rPr>
      <w:t>www</w:t>
    </w:r>
    <w:r w:rsidRPr="00123F1B">
      <w:rPr>
        <w:b/>
        <w:color w:val="17365D" w:themeColor="text2" w:themeShade="BF"/>
        <w:sz w:val="32"/>
        <w:szCs w:val="32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pfc</w:t>
    </w:r>
    <w:proofErr w:type="spellEnd"/>
    <w:r w:rsidRPr="00123F1B">
      <w:rPr>
        <w:b/>
        <w:color w:val="17365D" w:themeColor="text2" w:themeShade="BF"/>
        <w:sz w:val="30"/>
        <w:szCs w:val="30"/>
      </w:rPr>
      <w:t>.</w:t>
    </w:r>
    <w:proofErr w:type="spellStart"/>
    <w:r w:rsidRPr="00123F1B">
      <w:rPr>
        <w:b/>
        <w:color w:val="17365D" w:themeColor="text2" w:themeShade="BF"/>
        <w:sz w:val="30"/>
        <w:szCs w:val="30"/>
        <w:lang w:val="en-US"/>
      </w:rPr>
      <w:t>ru</w:t>
    </w:r>
    <w:proofErr w:type="spellEnd"/>
  </w:p>
  <w:p w:rsidR="00123F1B" w:rsidRDefault="00123F1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C6"/>
    <w:multiLevelType w:val="hybridMultilevel"/>
    <w:tmpl w:val="0AE66DC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E582F"/>
    <w:multiLevelType w:val="hybridMultilevel"/>
    <w:tmpl w:val="9BA8E8F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D32B1"/>
    <w:multiLevelType w:val="hybridMultilevel"/>
    <w:tmpl w:val="D1FA1A4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21DF4"/>
    <w:multiLevelType w:val="hybridMultilevel"/>
    <w:tmpl w:val="D45E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5580A"/>
    <w:multiLevelType w:val="hybridMultilevel"/>
    <w:tmpl w:val="3AD6B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60594"/>
    <w:multiLevelType w:val="hybridMultilevel"/>
    <w:tmpl w:val="412A5E8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157AD"/>
    <w:multiLevelType w:val="hybridMultilevel"/>
    <w:tmpl w:val="7A7AF78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5534E"/>
    <w:multiLevelType w:val="hybridMultilevel"/>
    <w:tmpl w:val="267495B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30361"/>
    <w:multiLevelType w:val="hybridMultilevel"/>
    <w:tmpl w:val="AB84945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B2C06"/>
    <w:multiLevelType w:val="hybridMultilevel"/>
    <w:tmpl w:val="0AD83FE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05DD0"/>
    <w:multiLevelType w:val="hybridMultilevel"/>
    <w:tmpl w:val="799018B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E70D0"/>
    <w:multiLevelType w:val="hybridMultilevel"/>
    <w:tmpl w:val="7B20009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60EA8"/>
    <w:multiLevelType w:val="hybridMultilevel"/>
    <w:tmpl w:val="CCCA01E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547FF"/>
    <w:multiLevelType w:val="hybridMultilevel"/>
    <w:tmpl w:val="9946B4F4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C466CF"/>
    <w:multiLevelType w:val="hybridMultilevel"/>
    <w:tmpl w:val="DE70F21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2422C5"/>
    <w:multiLevelType w:val="hybridMultilevel"/>
    <w:tmpl w:val="2D989848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B7589"/>
    <w:multiLevelType w:val="hybridMultilevel"/>
    <w:tmpl w:val="91C0F49A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53684C"/>
    <w:multiLevelType w:val="hybridMultilevel"/>
    <w:tmpl w:val="D354E6E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06C40"/>
    <w:multiLevelType w:val="hybridMultilevel"/>
    <w:tmpl w:val="78827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F790D"/>
    <w:multiLevelType w:val="hybridMultilevel"/>
    <w:tmpl w:val="88D85EC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E0E94"/>
    <w:multiLevelType w:val="hybridMultilevel"/>
    <w:tmpl w:val="E3549646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43D84"/>
    <w:multiLevelType w:val="hybridMultilevel"/>
    <w:tmpl w:val="718A5A1E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34DE4"/>
    <w:multiLevelType w:val="hybridMultilevel"/>
    <w:tmpl w:val="B102486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C25D0"/>
    <w:multiLevelType w:val="hybridMultilevel"/>
    <w:tmpl w:val="9B162EB2"/>
    <w:lvl w:ilvl="0" w:tplc="028E3CCC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317B27"/>
    <w:multiLevelType w:val="hybridMultilevel"/>
    <w:tmpl w:val="AE569EF2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A2ED3"/>
    <w:multiLevelType w:val="hybridMultilevel"/>
    <w:tmpl w:val="6172E66A"/>
    <w:lvl w:ilvl="0" w:tplc="028E3CC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DB4BD8"/>
    <w:multiLevelType w:val="hybridMultilevel"/>
    <w:tmpl w:val="775A540E"/>
    <w:lvl w:ilvl="0" w:tplc="028E3CC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25"/>
  </w:num>
  <w:num w:numId="5">
    <w:abstractNumId w:val="21"/>
  </w:num>
  <w:num w:numId="6">
    <w:abstractNumId w:val="24"/>
  </w:num>
  <w:num w:numId="7">
    <w:abstractNumId w:val="8"/>
  </w:num>
  <w:num w:numId="8">
    <w:abstractNumId w:val="17"/>
  </w:num>
  <w:num w:numId="9">
    <w:abstractNumId w:val="12"/>
  </w:num>
  <w:num w:numId="10">
    <w:abstractNumId w:val="13"/>
  </w:num>
  <w:num w:numId="11">
    <w:abstractNumId w:val="3"/>
  </w:num>
  <w:num w:numId="12">
    <w:abstractNumId w:val="2"/>
  </w:num>
  <w:num w:numId="13">
    <w:abstractNumId w:val="14"/>
  </w:num>
  <w:num w:numId="14">
    <w:abstractNumId w:val="0"/>
  </w:num>
  <w:num w:numId="15">
    <w:abstractNumId w:val="23"/>
  </w:num>
  <w:num w:numId="16">
    <w:abstractNumId w:val="19"/>
  </w:num>
  <w:num w:numId="17">
    <w:abstractNumId w:val="10"/>
  </w:num>
  <w:num w:numId="18">
    <w:abstractNumId w:val="9"/>
  </w:num>
  <w:num w:numId="19">
    <w:abstractNumId w:val="16"/>
  </w:num>
  <w:num w:numId="20">
    <w:abstractNumId w:val="7"/>
  </w:num>
  <w:num w:numId="21">
    <w:abstractNumId w:val="5"/>
  </w:num>
  <w:num w:numId="22">
    <w:abstractNumId w:val="22"/>
  </w:num>
  <w:num w:numId="23">
    <w:abstractNumId w:val="18"/>
  </w:num>
  <w:num w:numId="24">
    <w:abstractNumId w:val="15"/>
  </w:num>
  <w:num w:numId="25">
    <w:abstractNumId w:val="20"/>
  </w:num>
  <w:num w:numId="26">
    <w:abstractNumId w:val="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43362">
      <o:colormru v:ext="edit" colors="#ffc715,#fec200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071AB"/>
    <w:rsid w:val="000023FC"/>
    <w:rsid w:val="00005EE5"/>
    <w:rsid w:val="00011F6D"/>
    <w:rsid w:val="00012A3F"/>
    <w:rsid w:val="00012B1D"/>
    <w:rsid w:val="000205F3"/>
    <w:rsid w:val="00020B20"/>
    <w:rsid w:val="00020CE2"/>
    <w:rsid w:val="00025C62"/>
    <w:rsid w:val="00032B8E"/>
    <w:rsid w:val="00037772"/>
    <w:rsid w:val="000435D5"/>
    <w:rsid w:val="00047D6E"/>
    <w:rsid w:val="0005195A"/>
    <w:rsid w:val="000554E5"/>
    <w:rsid w:val="00055679"/>
    <w:rsid w:val="00062040"/>
    <w:rsid w:val="0006246E"/>
    <w:rsid w:val="0006497B"/>
    <w:rsid w:val="0007208B"/>
    <w:rsid w:val="000777E4"/>
    <w:rsid w:val="00077C34"/>
    <w:rsid w:val="000828E3"/>
    <w:rsid w:val="000938A9"/>
    <w:rsid w:val="00095DC8"/>
    <w:rsid w:val="000A324F"/>
    <w:rsid w:val="000A3B8A"/>
    <w:rsid w:val="000A6277"/>
    <w:rsid w:val="000B17E3"/>
    <w:rsid w:val="000B58BD"/>
    <w:rsid w:val="000C1E82"/>
    <w:rsid w:val="000C52A3"/>
    <w:rsid w:val="000C5CF4"/>
    <w:rsid w:val="000D2C2F"/>
    <w:rsid w:val="000D4DCC"/>
    <w:rsid w:val="000E7C70"/>
    <w:rsid w:val="000F24B7"/>
    <w:rsid w:val="000F6182"/>
    <w:rsid w:val="00116560"/>
    <w:rsid w:val="00123F1B"/>
    <w:rsid w:val="001300E5"/>
    <w:rsid w:val="00130F2F"/>
    <w:rsid w:val="001319BF"/>
    <w:rsid w:val="00142930"/>
    <w:rsid w:val="00156858"/>
    <w:rsid w:val="00163F70"/>
    <w:rsid w:val="00165EF4"/>
    <w:rsid w:val="00173974"/>
    <w:rsid w:val="00176E15"/>
    <w:rsid w:val="00180098"/>
    <w:rsid w:val="00187483"/>
    <w:rsid w:val="001900AC"/>
    <w:rsid w:val="001A508C"/>
    <w:rsid w:val="001A7121"/>
    <w:rsid w:val="001B1229"/>
    <w:rsid w:val="001B3C45"/>
    <w:rsid w:val="001B4446"/>
    <w:rsid w:val="001C2A67"/>
    <w:rsid w:val="001D4B1E"/>
    <w:rsid w:val="001D7EAF"/>
    <w:rsid w:val="001E7D7B"/>
    <w:rsid w:val="001F4FD3"/>
    <w:rsid w:val="00213A98"/>
    <w:rsid w:val="0023365C"/>
    <w:rsid w:val="00235903"/>
    <w:rsid w:val="00240232"/>
    <w:rsid w:val="00242904"/>
    <w:rsid w:val="0024367D"/>
    <w:rsid w:val="0024417A"/>
    <w:rsid w:val="00256B0D"/>
    <w:rsid w:val="00257CD1"/>
    <w:rsid w:val="00262E39"/>
    <w:rsid w:val="002642E8"/>
    <w:rsid w:val="002658BD"/>
    <w:rsid w:val="002676F8"/>
    <w:rsid w:val="00267E60"/>
    <w:rsid w:val="00272C9A"/>
    <w:rsid w:val="002814BE"/>
    <w:rsid w:val="002950C3"/>
    <w:rsid w:val="002A2CC7"/>
    <w:rsid w:val="002A2EE4"/>
    <w:rsid w:val="002A59F7"/>
    <w:rsid w:val="002A5EE2"/>
    <w:rsid w:val="002B09F0"/>
    <w:rsid w:val="002C3C9F"/>
    <w:rsid w:val="002C42FB"/>
    <w:rsid w:val="002D12A8"/>
    <w:rsid w:val="002D26EC"/>
    <w:rsid w:val="002E58B2"/>
    <w:rsid w:val="003020CB"/>
    <w:rsid w:val="00302CD2"/>
    <w:rsid w:val="00310814"/>
    <w:rsid w:val="00315A66"/>
    <w:rsid w:val="0032550B"/>
    <w:rsid w:val="00326239"/>
    <w:rsid w:val="003352C1"/>
    <w:rsid w:val="0034002D"/>
    <w:rsid w:val="003460EF"/>
    <w:rsid w:val="00353BCA"/>
    <w:rsid w:val="00370BDE"/>
    <w:rsid w:val="003723CF"/>
    <w:rsid w:val="00375885"/>
    <w:rsid w:val="00377DA7"/>
    <w:rsid w:val="003814DC"/>
    <w:rsid w:val="00383458"/>
    <w:rsid w:val="0038589F"/>
    <w:rsid w:val="0038667C"/>
    <w:rsid w:val="00387E12"/>
    <w:rsid w:val="003930F1"/>
    <w:rsid w:val="003A29A0"/>
    <w:rsid w:val="003B5312"/>
    <w:rsid w:val="003D0237"/>
    <w:rsid w:val="003D2B2D"/>
    <w:rsid w:val="003D68DD"/>
    <w:rsid w:val="003F0AF5"/>
    <w:rsid w:val="003F4356"/>
    <w:rsid w:val="00402BB6"/>
    <w:rsid w:val="0040774A"/>
    <w:rsid w:val="0041151F"/>
    <w:rsid w:val="00414ED4"/>
    <w:rsid w:val="0042061D"/>
    <w:rsid w:val="0042415E"/>
    <w:rsid w:val="00426B3C"/>
    <w:rsid w:val="00427228"/>
    <w:rsid w:val="00427380"/>
    <w:rsid w:val="00440001"/>
    <w:rsid w:val="004438A3"/>
    <w:rsid w:val="00445FD8"/>
    <w:rsid w:val="00453EDB"/>
    <w:rsid w:val="00465CDB"/>
    <w:rsid w:val="00471165"/>
    <w:rsid w:val="0047226E"/>
    <w:rsid w:val="0047477E"/>
    <w:rsid w:val="00480B2F"/>
    <w:rsid w:val="004846B8"/>
    <w:rsid w:val="0048583F"/>
    <w:rsid w:val="00486A1D"/>
    <w:rsid w:val="00492A05"/>
    <w:rsid w:val="00495391"/>
    <w:rsid w:val="004A243B"/>
    <w:rsid w:val="004B05A5"/>
    <w:rsid w:val="004C5A02"/>
    <w:rsid w:val="004C6579"/>
    <w:rsid w:val="004D122B"/>
    <w:rsid w:val="004D3A2E"/>
    <w:rsid w:val="004E05FB"/>
    <w:rsid w:val="004E0D9C"/>
    <w:rsid w:val="004F27F9"/>
    <w:rsid w:val="005027FD"/>
    <w:rsid w:val="00506CB4"/>
    <w:rsid w:val="00511E1C"/>
    <w:rsid w:val="00512BD0"/>
    <w:rsid w:val="00540DBE"/>
    <w:rsid w:val="005421D6"/>
    <w:rsid w:val="00551BD9"/>
    <w:rsid w:val="00555DB2"/>
    <w:rsid w:val="005566C3"/>
    <w:rsid w:val="00556E81"/>
    <w:rsid w:val="00557A2B"/>
    <w:rsid w:val="005604A7"/>
    <w:rsid w:val="00561BBB"/>
    <w:rsid w:val="0056204B"/>
    <w:rsid w:val="005634EB"/>
    <w:rsid w:val="00566255"/>
    <w:rsid w:val="0059100B"/>
    <w:rsid w:val="005973A4"/>
    <w:rsid w:val="005A0342"/>
    <w:rsid w:val="005A28CC"/>
    <w:rsid w:val="005A7A97"/>
    <w:rsid w:val="005C6A00"/>
    <w:rsid w:val="005D29A9"/>
    <w:rsid w:val="005E055D"/>
    <w:rsid w:val="005F0A5F"/>
    <w:rsid w:val="005F4E48"/>
    <w:rsid w:val="0061551C"/>
    <w:rsid w:val="0062465B"/>
    <w:rsid w:val="00625FF2"/>
    <w:rsid w:val="00626C87"/>
    <w:rsid w:val="00631BBF"/>
    <w:rsid w:val="00651012"/>
    <w:rsid w:val="006532FF"/>
    <w:rsid w:val="00664B82"/>
    <w:rsid w:val="00671212"/>
    <w:rsid w:val="00674ACA"/>
    <w:rsid w:val="00674D36"/>
    <w:rsid w:val="00674E89"/>
    <w:rsid w:val="006811F0"/>
    <w:rsid w:val="00681A68"/>
    <w:rsid w:val="006853E8"/>
    <w:rsid w:val="00685494"/>
    <w:rsid w:val="00687F85"/>
    <w:rsid w:val="00694269"/>
    <w:rsid w:val="006A17ED"/>
    <w:rsid w:val="006A180B"/>
    <w:rsid w:val="006A44B6"/>
    <w:rsid w:val="006A5595"/>
    <w:rsid w:val="006B1CC1"/>
    <w:rsid w:val="006D6C46"/>
    <w:rsid w:val="006E28DC"/>
    <w:rsid w:val="006E44AB"/>
    <w:rsid w:val="006E65A3"/>
    <w:rsid w:val="006E7CD2"/>
    <w:rsid w:val="006F0B88"/>
    <w:rsid w:val="00700C22"/>
    <w:rsid w:val="00710D51"/>
    <w:rsid w:val="00716D42"/>
    <w:rsid w:val="00723A89"/>
    <w:rsid w:val="00725B11"/>
    <w:rsid w:val="00730B51"/>
    <w:rsid w:val="0073324D"/>
    <w:rsid w:val="007332FE"/>
    <w:rsid w:val="00737B35"/>
    <w:rsid w:val="00746D06"/>
    <w:rsid w:val="00750881"/>
    <w:rsid w:val="007617EA"/>
    <w:rsid w:val="00767F7C"/>
    <w:rsid w:val="00772345"/>
    <w:rsid w:val="00780366"/>
    <w:rsid w:val="00785ED7"/>
    <w:rsid w:val="00787C56"/>
    <w:rsid w:val="0079410F"/>
    <w:rsid w:val="007A4038"/>
    <w:rsid w:val="007B0C42"/>
    <w:rsid w:val="007B0D93"/>
    <w:rsid w:val="007C1562"/>
    <w:rsid w:val="007D042C"/>
    <w:rsid w:val="007D0D18"/>
    <w:rsid w:val="007E355B"/>
    <w:rsid w:val="007F0CB4"/>
    <w:rsid w:val="007F21CB"/>
    <w:rsid w:val="007F6603"/>
    <w:rsid w:val="00800DFF"/>
    <w:rsid w:val="00802523"/>
    <w:rsid w:val="008036A2"/>
    <w:rsid w:val="00811909"/>
    <w:rsid w:val="00827EC3"/>
    <w:rsid w:val="00830249"/>
    <w:rsid w:val="00830455"/>
    <w:rsid w:val="00835C1D"/>
    <w:rsid w:val="0084211E"/>
    <w:rsid w:val="00843DF3"/>
    <w:rsid w:val="00846733"/>
    <w:rsid w:val="00852C77"/>
    <w:rsid w:val="00856A38"/>
    <w:rsid w:val="008609EB"/>
    <w:rsid w:val="00861571"/>
    <w:rsid w:val="00870AEB"/>
    <w:rsid w:val="0087228C"/>
    <w:rsid w:val="00874F4E"/>
    <w:rsid w:val="00876750"/>
    <w:rsid w:val="00877329"/>
    <w:rsid w:val="00877F37"/>
    <w:rsid w:val="00880022"/>
    <w:rsid w:val="00880A0B"/>
    <w:rsid w:val="00880A20"/>
    <w:rsid w:val="008967B8"/>
    <w:rsid w:val="008A1D8C"/>
    <w:rsid w:val="008A3505"/>
    <w:rsid w:val="008A775F"/>
    <w:rsid w:val="008C0767"/>
    <w:rsid w:val="008C09B0"/>
    <w:rsid w:val="008C1E25"/>
    <w:rsid w:val="008C2632"/>
    <w:rsid w:val="008C35EB"/>
    <w:rsid w:val="008C3FE8"/>
    <w:rsid w:val="008D08A7"/>
    <w:rsid w:val="008D4AC8"/>
    <w:rsid w:val="008D4BA9"/>
    <w:rsid w:val="008E3604"/>
    <w:rsid w:val="009051FE"/>
    <w:rsid w:val="00911832"/>
    <w:rsid w:val="00914B13"/>
    <w:rsid w:val="00916FCE"/>
    <w:rsid w:val="00917EB4"/>
    <w:rsid w:val="00924B07"/>
    <w:rsid w:val="00933714"/>
    <w:rsid w:val="00935DC4"/>
    <w:rsid w:val="0094278F"/>
    <w:rsid w:val="00944631"/>
    <w:rsid w:val="00950940"/>
    <w:rsid w:val="00957536"/>
    <w:rsid w:val="009614AB"/>
    <w:rsid w:val="00962E42"/>
    <w:rsid w:val="00963A62"/>
    <w:rsid w:val="009703EB"/>
    <w:rsid w:val="00970C26"/>
    <w:rsid w:val="00973E9B"/>
    <w:rsid w:val="00983EB3"/>
    <w:rsid w:val="00984207"/>
    <w:rsid w:val="00993028"/>
    <w:rsid w:val="009966CD"/>
    <w:rsid w:val="009B35FB"/>
    <w:rsid w:val="009C1FBB"/>
    <w:rsid w:val="009C2A45"/>
    <w:rsid w:val="009C7AA8"/>
    <w:rsid w:val="009D58CF"/>
    <w:rsid w:val="009E495E"/>
    <w:rsid w:val="009F6BF4"/>
    <w:rsid w:val="00A029B0"/>
    <w:rsid w:val="00A053BC"/>
    <w:rsid w:val="00A05938"/>
    <w:rsid w:val="00A071AB"/>
    <w:rsid w:val="00A11A73"/>
    <w:rsid w:val="00A13582"/>
    <w:rsid w:val="00A140F1"/>
    <w:rsid w:val="00A16411"/>
    <w:rsid w:val="00A16A80"/>
    <w:rsid w:val="00A2501D"/>
    <w:rsid w:val="00A318B1"/>
    <w:rsid w:val="00A34E1F"/>
    <w:rsid w:val="00A40431"/>
    <w:rsid w:val="00A45F32"/>
    <w:rsid w:val="00A5389A"/>
    <w:rsid w:val="00A560E2"/>
    <w:rsid w:val="00A637F0"/>
    <w:rsid w:val="00A638A2"/>
    <w:rsid w:val="00A704E5"/>
    <w:rsid w:val="00A8717C"/>
    <w:rsid w:val="00A92A14"/>
    <w:rsid w:val="00A943C6"/>
    <w:rsid w:val="00A97258"/>
    <w:rsid w:val="00A97F0C"/>
    <w:rsid w:val="00AA1178"/>
    <w:rsid w:val="00AA337F"/>
    <w:rsid w:val="00AA3B85"/>
    <w:rsid w:val="00AB4A92"/>
    <w:rsid w:val="00AB51F0"/>
    <w:rsid w:val="00AC1A79"/>
    <w:rsid w:val="00AC2EF1"/>
    <w:rsid w:val="00AC356B"/>
    <w:rsid w:val="00AC3AAF"/>
    <w:rsid w:val="00AC6024"/>
    <w:rsid w:val="00AD2C0C"/>
    <w:rsid w:val="00AD50C9"/>
    <w:rsid w:val="00AE18AC"/>
    <w:rsid w:val="00AF4048"/>
    <w:rsid w:val="00AF44E0"/>
    <w:rsid w:val="00AF73FA"/>
    <w:rsid w:val="00AF7565"/>
    <w:rsid w:val="00B0317A"/>
    <w:rsid w:val="00B1132B"/>
    <w:rsid w:val="00B1328F"/>
    <w:rsid w:val="00B15599"/>
    <w:rsid w:val="00B16C8E"/>
    <w:rsid w:val="00B22359"/>
    <w:rsid w:val="00B41F5E"/>
    <w:rsid w:val="00B468B3"/>
    <w:rsid w:val="00B516E7"/>
    <w:rsid w:val="00B62E33"/>
    <w:rsid w:val="00B657A9"/>
    <w:rsid w:val="00B7627D"/>
    <w:rsid w:val="00B80372"/>
    <w:rsid w:val="00B82B5F"/>
    <w:rsid w:val="00B934D5"/>
    <w:rsid w:val="00B957D1"/>
    <w:rsid w:val="00B97992"/>
    <w:rsid w:val="00BB2B2A"/>
    <w:rsid w:val="00BB44C8"/>
    <w:rsid w:val="00BC5393"/>
    <w:rsid w:val="00BC7018"/>
    <w:rsid w:val="00BD0A92"/>
    <w:rsid w:val="00BD6775"/>
    <w:rsid w:val="00BE0A32"/>
    <w:rsid w:val="00BE5240"/>
    <w:rsid w:val="00BE54C3"/>
    <w:rsid w:val="00BE76C5"/>
    <w:rsid w:val="00BF0723"/>
    <w:rsid w:val="00BF393C"/>
    <w:rsid w:val="00BF618B"/>
    <w:rsid w:val="00BF793D"/>
    <w:rsid w:val="00BF7F7F"/>
    <w:rsid w:val="00C0326F"/>
    <w:rsid w:val="00C039BD"/>
    <w:rsid w:val="00C11A84"/>
    <w:rsid w:val="00C13D49"/>
    <w:rsid w:val="00C33849"/>
    <w:rsid w:val="00C36160"/>
    <w:rsid w:val="00C40267"/>
    <w:rsid w:val="00C45656"/>
    <w:rsid w:val="00C50D39"/>
    <w:rsid w:val="00C51383"/>
    <w:rsid w:val="00C57986"/>
    <w:rsid w:val="00C60F9C"/>
    <w:rsid w:val="00C673CA"/>
    <w:rsid w:val="00C75E82"/>
    <w:rsid w:val="00C80323"/>
    <w:rsid w:val="00C904A8"/>
    <w:rsid w:val="00C946B0"/>
    <w:rsid w:val="00CA0152"/>
    <w:rsid w:val="00CA381E"/>
    <w:rsid w:val="00CC145F"/>
    <w:rsid w:val="00CC1CC5"/>
    <w:rsid w:val="00CC27F4"/>
    <w:rsid w:val="00CC2955"/>
    <w:rsid w:val="00CC4BD1"/>
    <w:rsid w:val="00CD6529"/>
    <w:rsid w:val="00CE1C4B"/>
    <w:rsid w:val="00CE5324"/>
    <w:rsid w:val="00CF1C9A"/>
    <w:rsid w:val="00CF7AED"/>
    <w:rsid w:val="00D00906"/>
    <w:rsid w:val="00D00FA0"/>
    <w:rsid w:val="00D11104"/>
    <w:rsid w:val="00D3045E"/>
    <w:rsid w:val="00D36B70"/>
    <w:rsid w:val="00D408D2"/>
    <w:rsid w:val="00D4303F"/>
    <w:rsid w:val="00D51D9B"/>
    <w:rsid w:val="00D6130D"/>
    <w:rsid w:val="00D6146A"/>
    <w:rsid w:val="00D62A53"/>
    <w:rsid w:val="00D736FA"/>
    <w:rsid w:val="00D748F2"/>
    <w:rsid w:val="00D75F8B"/>
    <w:rsid w:val="00D858C5"/>
    <w:rsid w:val="00D87EA5"/>
    <w:rsid w:val="00D91995"/>
    <w:rsid w:val="00D92692"/>
    <w:rsid w:val="00D957F5"/>
    <w:rsid w:val="00D971B4"/>
    <w:rsid w:val="00DA036D"/>
    <w:rsid w:val="00DA46DB"/>
    <w:rsid w:val="00DB2589"/>
    <w:rsid w:val="00DC1397"/>
    <w:rsid w:val="00DC15F2"/>
    <w:rsid w:val="00DC21FD"/>
    <w:rsid w:val="00DC62EB"/>
    <w:rsid w:val="00DD51E7"/>
    <w:rsid w:val="00DD56DE"/>
    <w:rsid w:val="00DE3645"/>
    <w:rsid w:val="00DF2400"/>
    <w:rsid w:val="00E14578"/>
    <w:rsid w:val="00E22F7D"/>
    <w:rsid w:val="00E35A79"/>
    <w:rsid w:val="00E410D1"/>
    <w:rsid w:val="00E5434B"/>
    <w:rsid w:val="00E552D0"/>
    <w:rsid w:val="00E7331C"/>
    <w:rsid w:val="00E85709"/>
    <w:rsid w:val="00E9446B"/>
    <w:rsid w:val="00EA7430"/>
    <w:rsid w:val="00EA7709"/>
    <w:rsid w:val="00EB15E4"/>
    <w:rsid w:val="00EB3766"/>
    <w:rsid w:val="00EC519B"/>
    <w:rsid w:val="00ED022E"/>
    <w:rsid w:val="00ED489A"/>
    <w:rsid w:val="00ED63B5"/>
    <w:rsid w:val="00EE5374"/>
    <w:rsid w:val="00EE7E2C"/>
    <w:rsid w:val="00EF22EF"/>
    <w:rsid w:val="00EF3F5D"/>
    <w:rsid w:val="00EF46C3"/>
    <w:rsid w:val="00EF6627"/>
    <w:rsid w:val="00EF7DC4"/>
    <w:rsid w:val="00F02503"/>
    <w:rsid w:val="00F074FF"/>
    <w:rsid w:val="00F12D83"/>
    <w:rsid w:val="00F16F1D"/>
    <w:rsid w:val="00F23627"/>
    <w:rsid w:val="00F24EED"/>
    <w:rsid w:val="00F24F6A"/>
    <w:rsid w:val="00F255DC"/>
    <w:rsid w:val="00F32977"/>
    <w:rsid w:val="00F343E6"/>
    <w:rsid w:val="00F43370"/>
    <w:rsid w:val="00F53E1F"/>
    <w:rsid w:val="00F55560"/>
    <w:rsid w:val="00F60AE9"/>
    <w:rsid w:val="00F63255"/>
    <w:rsid w:val="00F6765C"/>
    <w:rsid w:val="00F73047"/>
    <w:rsid w:val="00F744A2"/>
    <w:rsid w:val="00F7626E"/>
    <w:rsid w:val="00F76D7C"/>
    <w:rsid w:val="00F80059"/>
    <w:rsid w:val="00F80AB5"/>
    <w:rsid w:val="00F81265"/>
    <w:rsid w:val="00F838CB"/>
    <w:rsid w:val="00F97128"/>
    <w:rsid w:val="00FA2F64"/>
    <w:rsid w:val="00FA5917"/>
    <w:rsid w:val="00FB099A"/>
    <w:rsid w:val="00FB420D"/>
    <w:rsid w:val="00FC0C90"/>
    <w:rsid w:val="00FC2959"/>
    <w:rsid w:val="00FD0833"/>
    <w:rsid w:val="00FE0A65"/>
    <w:rsid w:val="00FE315B"/>
    <w:rsid w:val="00FE3C85"/>
    <w:rsid w:val="00FE5CF4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>
      <o:colormru v:ext="edit" colors="#ffc715,#fec200"/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AB"/>
  </w:style>
  <w:style w:type="paragraph" w:styleId="1">
    <w:name w:val="heading 1"/>
    <w:basedOn w:val="a"/>
    <w:link w:val="10"/>
    <w:uiPriority w:val="9"/>
    <w:qFormat/>
    <w:rsid w:val="00A07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A071A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4">
    <w:name w:val="Hyperlink"/>
    <w:basedOn w:val="a0"/>
    <w:uiPriority w:val="99"/>
    <w:unhideWhenUsed/>
    <w:rsid w:val="00A071AB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1AB"/>
  </w:style>
  <w:style w:type="character" w:styleId="a7">
    <w:name w:val="Placeholder Text"/>
    <w:basedOn w:val="a0"/>
    <w:uiPriority w:val="99"/>
    <w:semiHidden/>
    <w:rsid w:val="00A071A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0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1A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7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1AB"/>
  </w:style>
  <w:style w:type="character" w:customStyle="1" w:styleId="10">
    <w:name w:val="Заголовок 1 Знак"/>
    <w:basedOn w:val="a0"/>
    <w:link w:val="1"/>
    <w:uiPriority w:val="9"/>
    <w:rsid w:val="00A07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3723C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3723CF"/>
    <w:rPr>
      <w:color w:val="800080" w:themeColor="followedHyperlink"/>
      <w:u w:val="single"/>
    </w:rPr>
  </w:style>
  <w:style w:type="paragraph" w:customStyle="1" w:styleId="AB630D60F59F403CB531B268FE76FA17">
    <w:name w:val="AB630D60F59F403CB531B268FE76FA17"/>
    <w:rsid w:val="00123F1B"/>
    <w:rPr>
      <w:rFonts w:eastAsiaTheme="minorEastAsia"/>
      <w:lang w:eastAsia="ru-RU"/>
    </w:rPr>
  </w:style>
  <w:style w:type="paragraph" w:customStyle="1" w:styleId="b-articletext">
    <w:name w:val="b-article__text"/>
    <w:basedOn w:val="a"/>
    <w:rsid w:val="0065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A2501D"/>
    <w:rPr>
      <w:i/>
      <w:iCs/>
    </w:rPr>
  </w:style>
  <w:style w:type="paragraph" w:styleId="ae">
    <w:name w:val="endnote text"/>
    <w:basedOn w:val="a"/>
    <w:link w:val="af"/>
    <w:uiPriority w:val="99"/>
    <w:semiHidden/>
    <w:unhideWhenUsed/>
    <w:rsid w:val="003758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758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375885"/>
    <w:rPr>
      <w:vertAlign w:val="superscript"/>
    </w:rPr>
  </w:style>
  <w:style w:type="character" w:styleId="af1">
    <w:name w:val="Strong"/>
    <w:basedOn w:val="a0"/>
    <w:uiPriority w:val="22"/>
    <w:qFormat/>
    <w:rsid w:val="00EF7DC4"/>
    <w:rPr>
      <w:b/>
      <w:bCs/>
    </w:rPr>
  </w:style>
  <w:style w:type="table" w:customStyle="1" w:styleId="-110">
    <w:name w:val="Светлый список - Акцент 11"/>
    <w:basedOn w:val="a1"/>
    <w:uiPriority w:val="61"/>
    <w:rsid w:val="00F762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List Accent 5"/>
    <w:basedOn w:val="a1"/>
    <w:uiPriority w:val="61"/>
    <w:rsid w:val="00E41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f2">
    <w:name w:val="Normal (Web)"/>
    <w:basedOn w:val="a"/>
    <w:uiPriority w:val="99"/>
    <w:unhideWhenUsed/>
    <w:rsid w:val="00BC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32" Type="http://schemas.microsoft.com/office/2007/relationships/stylesWithEffects" Target="stylesWithEffects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oker\AppData\Local\Temp\debt_new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/>
          <a:lstStyle/>
          <a:p>
            <a:pPr>
              <a:defRPr/>
            </a:pPr>
            <a:r>
              <a:rPr lang="ru-RU"/>
              <a:t>Внешний долг РФ (млн.</a:t>
            </a:r>
            <a:r>
              <a:rPr lang="ru-RU" baseline="0"/>
              <a:t> дол.)</a:t>
            </a:r>
            <a:r>
              <a:rPr lang="en-US"/>
              <a:t> </a:t>
            </a:r>
          </a:p>
        </c:rich>
      </c:tx>
    </c:title>
    <c:plotArea>
      <c:layout/>
      <c:areaChart>
        <c:grouping val="standard"/>
        <c:ser>
          <c:idx val="0"/>
          <c:order val="0"/>
          <c:tx>
            <c:strRef>
              <c:f>'Основная 4-2014'!$A$4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</c:spPr>
          <c:cat>
            <c:strRef>
              <c:f>'Основная 4-2014'!$B$1:$AX$3</c:f>
              <c:strCache>
                <c:ptCount val="49"/>
                <c:pt idx="0">
                  <c:v>01.01.2003</c:v>
                </c:pt>
                <c:pt idx="1">
                  <c:v>01.04.2003</c:v>
                </c:pt>
                <c:pt idx="2">
                  <c:v>01.07.2003</c:v>
                </c:pt>
                <c:pt idx="3">
                  <c:v>01.10.2003</c:v>
                </c:pt>
                <c:pt idx="4">
                  <c:v>01.01.2004</c:v>
                </c:pt>
                <c:pt idx="5">
                  <c:v>01.04.2004</c:v>
                </c:pt>
                <c:pt idx="6">
                  <c:v>01.07.2004</c:v>
                </c:pt>
                <c:pt idx="7">
                  <c:v>01.10.2004</c:v>
                </c:pt>
                <c:pt idx="8">
                  <c:v>01.01.2005</c:v>
                </c:pt>
                <c:pt idx="9">
                  <c:v>01.04.2005</c:v>
                </c:pt>
                <c:pt idx="10">
                  <c:v>01.07.2005</c:v>
                </c:pt>
                <c:pt idx="11">
                  <c:v>01.10.2005</c:v>
                </c:pt>
                <c:pt idx="12">
                  <c:v>01.01.2006</c:v>
                </c:pt>
                <c:pt idx="13">
                  <c:v>01.04.2006</c:v>
                </c:pt>
                <c:pt idx="14">
                  <c:v>01.07.2006</c:v>
                </c:pt>
                <c:pt idx="15">
                  <c:v>01.10.2006</c:v>
                </c:pt>
                <c:pt idx="16">
                  <c:v>01.01.2007</c:v>
                </c:pt>
                <c:pt idx="17">
                  <c:v>01.04.2007</c:v>
                </c:pt>
                <c:pt idx="18">
                  <c:v>01.07.2007</c:v>
                </c:pt>
                <c:pt idx="19">
                  <c:v>01.10.2007</c:v>
                </c:pt>
                <c:pt idx="20">
                  <c:v>01.01.2008</c:v>
                </c:pt>
                <c:pt idx="21">
                  <c:v>01.04.2008</c:v>
                </c:pt>
                <c:pt idx="22">
                  <c:v>01.07.2008</c:v>
                </c:pt>
                <c:pt idx="23">
                  <c:v>01.10.2008</c:v>
                </c:pt>
                <c:pt idx="24">
                  <c:v>01.01.2009</c:v>
                </c:pt>
                <c:pt idx="25">
                  <c:v>01.04.2009</c:v>
                </c:pt>
                <c:pt idx="26">
                  <c:v>01.07.2009</c:v>
                </c:pt>
                <c:pt idx="27">
                  <c:v>01.10.2009</c:v>
                </c:pt>
                <c:pt idx="28">
                  <c:v>01.01.2010</c:v>
                </c:pt>
                <c:pt idx="29">
                  <c:v>01.04.2010</c:v>
                </c:pt>
                <c:pt idx="30">
                  <c:v>01.07.2010</c:v>
                </c:pt>
                <c:pt idx="31">
                  <c:v>01.10.2010</c:v>
                </c:pt>
                <c:pt idx="32">
                  <c:v>01.01.2011</c:v>
                </c:pt>
                <c:pt idx="33">
                  <c:v>01.04.2011</c:v>
                </c:pt>
                <c:pt idx="34">
                  <c:v>01.07.2011</c:v>
                </c:pt>
                <c:pt idx="35">
                  <c:v>01.10.2011</c:v>
                </c:pt>
                <c:pt idx="36">
                  <c:v>01.01.2012</c:v>
                </c:pt>
                <c:pt idx="37">
                  <c:v>01.04.2012</c:v>
                </c:pt>
                <c:pt idx="38">
                  <c:v>01.07.2012</c:v>
                </c:pt>
                <c:pt idx="39">
                  <c:v>01.10.2012</c:v>
                </c:pt>
                <c:pt idx="40">
                  <c:v>01.01.2013</c:v>
                </c:pt>
                <c:pt idx="41">
                  <c:v>01.04.2013</c:v>
                </c:pt>
                <c:pt idx="42">
                  <c:v>01.07.2013</c:v>
                </c:pt>
                <c:pt idx="43">
                  <c:v>01.10.2013</c:v>
                </c:pt>
                <c:pt idx="44">
                  <c:v>01.01.2014</c:v>
                </c:pt>
                <c:pt idx="45">
                  <c:v>01.04.2014</c:v>
                </c:pt>
                <c:pt idx="46">
                  <c:v>01.07.2014</c:v>
                </c:pt>
                <c:pt idx="47">
                  <c:v>01.10.2014</c:v>
                </c:pt>
                <c:pt idx="48">
                  <c:v>01.01.2015</c:v>
                </c:pt>
              </c:strCache>
            </c:strRef>
          </c:cat>
          <c:val>
            <c:numRef>
              <c:f>'Основная 4-2014'!$B$4:$AX$4</c:f>
              <c:numCache>
                <c:formatCode>#,##0</c:formatCode>
                <c:ptCount val="49"/>
                <c:pt idx="0">
                  <c:v>151302</c:v>
                </c:pt>
                <c:pt idx="1">
                  <c:v>153215</c:v>
                </c:pt>
                <c:pt idx="2">
                  <c:v>158166</c:v>
                </c:pt>
                <c:pt idx="3">
                  <c:v>165834</c:v>
                </c:pt>
                <c:pt idx="4">
                  <c:v>184956</c:v>
                </c:pt>
                <c:pt idx="5">
                  <c:v>189539</c:v>
                </c:pt>
                <c:pt idx="6">
                  <c:v>192348</c:v>
                </c:pt>
                <c:pt idx="7">
                  <c:v>193198</c:v>
                </c:pt>
                <c:pt idx="8">
                  <c:v>213335</c:v>
                </c:pt>
                <c:pt idx="9">
                  <c:v>219353</c:v>
                </c:pt>
                <c:pt idx="10">
                  <c:v>227829</c:v>
                </c:pt>
                <c:pt idx="11">
                  <c:v>226707</c:v>
                </c:pt>
                <c:pt idx="12">
                  <c:v>257202</c:v>
                </c:pt>
                <c:pt idx="13">
                  <c:v>273280</c:v>
                </c:pt>
                <c:pt idx="14">
                  <c:v>289105</c:v>
                </c:pt>
                <c:pt idx="15">
                  <c:v>269512</c:v>
                </c:pt>
                <c:pt idx="16">
                  <c:v>313212</c:v>
                </c:pt>
                <c:pt idx="17">
                  <c:v>355585</c:v>
                </c:pt>
                <c:pt idx="18">
                  <c:v>399548</c:v>
                </c:pt>
                <c:pt idx="19">
                  <c:v>438835</c:v>
                </c:pt>
                <c:pt idx="20">
                  <c:v>464384</c:v>
                </c:pt>
                <c:pt idx="21">
                  <c:v>482498</c:v>
                </c:pt>
                <c:pt idx="22">
                  <c:v>533423</c:v>
                </c:pt>
                <c:pt idx="23">
                  <c:v>540232</c:v>
                </c:pt>
                <c:pt idx="24">
                  <c:v>479824</c:v>
                </c:pt>
                <c:pt idx="25">
                  <c:v>445526</c:v>
                </c:pt>
                <c:pt idx="26">
                  <c:v>465885</c:v>
                </c:pt>
                <c:pt idx="27">
                  <c:v>473399</c:v>
                </c:pt>
                <c:pt idx="28">
                  <c:v>466294</c:v>
                </c:pt>
                <c:pt idx="29">
                  <c:v>462841</c:v>
                </c:pt>
                <c:pt idx="30">
                  <c:v>456954</c:v>
                </c:pt>
                <c:pt idx="31">
                  <c:v>476185</c:v>
                </c:pt>
                <c:pt idx="32">
                  <c:v>488536</c:v>
                </c:pt>
                <c:pt idx="33">
                  <c:v>508359</c:v>
                </c:pt>
                <c:pt idx="34">
                  <c:v>538122</c:v>
                </c:pt>
                <c:pt idx="35">
                  <c:v>525577</c:v>
                </c:pt>
                <c:pt idx="36">
                  <c:v>538883</c:v>
                </c:pt>
                <c:pt idx="37">
                  <c:v>557520</c:v>
                </c:pt>
                <c:pt idx="38">
                  <c:v>570652</c:v>
                </c:pt>
                <c:pt idx="39">
                  <c:v>598926</c:v>
                </c:pt>
                <c:pt idx="40">
                  <c:v>636420</c:v>
                </c:pt>
                <c:pt idx="41">
                  <c:v>691669</c:v>
                </c:pt>
                <c:pt idx="42">
                  <c:v>707764</c:v>
                </c:pt>
                <c:pt idx="43">
                  <c:v>716257</c:v>
                </c:pt>
                <c:pt idx="44">
                  <c:v>728864</c:v>
                </c:pt>
                <c:pt idx="45">
                  <c:v>715892</c:v>
                </c:pt>
                <c:pt idx="46">
                  <c:v>732777</c:v>
                </c:pt>
                <c:pt idx="47">
                  <c:v>680857</c:v>
                </c:pt>
                <c:pt idx="48">
                  <c:v>598678</c:v>
                </c:pt>
              </c:numCache>
            </c:numRef>
          </c:val>
        </c:ser>
        <c:ser>
          <c:idx val="1"/>
          <c:order val="1"/>
          <c:tx>
            <c:strRef>
              <c:f>'Основная 4-2014'!$A$5</c:f>
              <c:strCache>
                <c:ptCount val="1"/>
                <c:pt idx="0">
                  <c:v>Органы государственного управления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cat>
            <c:strRef>
              <c:f>'Основная 4-2014'!$B$1:$AX$3</c:f>
              <c:strCache>
                <c:ptCount val="49"/>
                <c:pt idx="0">
                  <c:v>01.01.2003</c:v>
                </c:pt>
                <c:pt idx="1">
                  <c:v>01.04.2003</c:v>
                </c:pt>
                <c:pt idx="2">
                  <c:v>01.07.2003</c:v>
                </c:pt>
                <c:pt idx="3">
                  <c:v>01.10.2003</c:v>
                </c:pt>
                <c:pt idx="4">
                  <c:v>01.01.2004</c:v>
                </c:pt>
                <c:pt idx="5">
                  <c:v>01.04.2004</c:v>
                </c:pt>
                <c:pt idx="6">
                  <c:v>01.07.2004</c:v>
                </c:pt>
                <c:pt idx="7">
                  <c:v>01.10.2004</c:v>
                </c:pt>
                <c:pt idx="8">
                  <c:v>01.01.2005</c:v>
                </c:pt>
                <c:pt idx="9">
                  <c:v>01.04.2005</c:v>
                </c:pt>
                <c:pt idx="10">
                  <c:v>01.07.2005</c:v>
                </c:pt>
                <c:pt idx="11">
                  <c:v>01.10.2005</c:v>
                </c:pt>
                <c:pt idx="12">
                  <c:v>01.01.2006</c:v>
                </c:pt>
                <c:pt idx="13">
                  <c:v>01.04.2006</c:v>
                </c:pt>
                <c:pt idx="14">
                  <c:v>01.07.2006</c:v>
                </c:pt>
                <c:pt idx="15">
                  <c:v>01.10.2006</c:v>
                </c:pt>
                <c:pt idx="16">
                  <c:v>01.01.2007</c:v>
                </c:pt>
                <c:pt idx="17">
                  <c:v>01.04.2007</c:v>
                </c:pt>
                <c:pt idx="18">
                  <c:v>01.07.2007</c:v>
                </c:pt>
                <c:pt idx="19">
                  <c:v>01.10.2007</c:v>
                </c:pt>
                <c:pt idx="20">
                  <c:v>01.01.2008</c:v>
                </c:pt>
                <c:pt idx="21">
                  <c:v>01.04.2008</c:v>
                </c:pt>
                <c:pt idx="22">
                  <c:v>01.07.2008</c:v>
                </c:pt>
                <c:pt idx="23">
                  <c:v>01.10.2008</c:v>
                </c:pt>
                <c:pt idx="24">
                  <c:v>01.01.2009</c:v>
                </c:pt>
                <c:pt idx="25">
                  <c:v>01.04.2009</c:v>
                </c:pt>
                <c:pt idx="26">
                  <c:v>01.07.2009</c:v>
                </c:pt>
                <c:pt idx="27">
                  <c:v>01.10.2009</c:v>
                </c:pt>
                <c:pt idx="28">
                  <c:v>01.01.2010</c:v>
                </c:pt>
                <c:pt idx="29">
                  <c:v>01.04.2010</c:v>
                </c:pt>
                <c:pt idx="30">
                  <c:v>01.07.2010</c:v>
                </c:pt>
                <c:pt idx="31">
                  <c:v>01.10.2010</c:v>
                </c:pt>
                <c:pt idx="32">
                  <c:v>01.01.2011</c:v>
                </c:pt>
                <c:pt idx="33">
                  <c:v>01.04.2011</c:v>
                </c:pt>
                <c:pt idx="34">
                  <c:v>01.07.2011</c:v>
                </c:pt>
                <c:pt idx="35">
                  <c:v>01.10.2011</c:v>
                </c:pt>
                <c:pt idx="36">
                  <c:v>01.01.2012</c:v>
                </c:pt>
                <c:pt idx="37">
                  <c:v>01.04.2012</c:v>
                </c:pt>
                <c:pt idx="38">
                  <c:v>01.07.2012</c:v>
                </c:pt>
                <c:pt idx="39">
                  <c:v>01.10.2012</c:v>
                </c:pt>
                <c:pt idx="40">
                  <c:v>01.01.2013</c:v>
                </c:pt>
                <c:pt idx="41">
                  <c:v>01.04.2013</c:v>
                </c:pt>
                <c:pt idx="42">
                  <c:v>01.07.2013</c:v>
                </c:pt>
                <c:pt idx="43">
                  <c:v>01.10.2013</c:v>
                </c:pt>
                <c:pt idx="44">
                  <c:v>01.01.2014</c:v>
                </c:pt>
                <c:pt idx="45">
                  <c:v>01.04.2014</c:v>
                </c:pt>
                <c:pt idx="46">
                  <c:v>01.07.2014</c:v>
                </c:pt>
                <c:pt idx="47">
                  <c:v>01.10.2014</c:v>
                </c:pt>
                <c:pt idx="48">
                  <c:v>01.01.2015</c:v>
                </c:pt>
              </c:strCache>
            </c:strRef>
          </c:cat>
          <c:val>
            <c:numRef>
              <c:f>'Основная 4-2014'!$B$5:$AX$5</c:f>
              <c:numCache>
                <c:formatCode>#,##0</c:formatCode>
                <c:ptCount val="49"/>
                <c:pt idx="0">
                  <c:v>103299</c:v>
                </c:pt>
                <c:pt idx="1">
                  <c:v>101372</c:v>
                </c:pt>
                <c:pt idx="2">
                  <c:v>99900</c:v>
                </c:pt>
                <c:pt idx="3">
                  <c:v>98841</c:v>
                </c:pt>
                <c:pt idx="4">
                  <c:v>103245</c:v>
                </c:pt>
                <c:pt idx="5">
                  <c:v>100422</c:v>
                </c:pt>
                <c:pt idx="6">
                  <c:v>98133</c:v>
                </c:pt>
                <c:pt idx="7">
                  <c:v>96834</c:v>
                </c:pt>
                <c:pt idx="8">
                  <c:v>100721</c:v>
                </c:pt>
                <c:pt idx="9">
                  <c:v>92710</c:v>
                </c:pt>
                <c:pt idx="10">
                  <c:v>90971</c:v>
                </c:pt>
                <c:pt idx="11">
                  <c:v>71888</c:v>
                </c:pt>
                <c:pt idx="12">
                  <c:v>71103</c:v>
                </c:pt>
                <c:pt idx="13" formatCode="#,##0.0">
                  <c:v>69512</c:v>
                </c:pt>
                <c:pt idx="14">
                  <c:v>66409</c:v>
                </c:pt>
                <c:pt idx="15">
                  <c:v>45344</c:v>
                </c:pt>
                <c:pt idx="16">
                  <c:v>44718</c:v>
                </c:pt>
                <c:pt idx="17">
                  <c:v>43376</c:v>
                </c:pt>
                <c:pt idx="18">
                  <c:v>40786</c:v>
                </c:pt>
                <c:pt idx="19">
                  <c:v>39666</c:v>
                </c:pt>
                <c:pt idx="20">
                  <c:v>37380</c:v>
                </c:pt>
                <c:pt idx="21">
                  <c:v>36862</c:v>
                </c:pt>
                <c:pt idx="22">
                  <c:v>34664</c:v>
                </c:pt>
                <c:pt idx="23">
                  <c:v>32571</c:v>
                </c:pt>
                <c:pt idx="24">
                  <c:v>29487</c:v>
                </c:pt>
                <c:pt idx="25">
                  <c:v>27384</c:v>
                </c:pt>
                <c:pt idx="26">
                  <c:v>30050</c:v>
                </c:pt>
                <c:pt idx="27">
                  <c:v>31199</c:v>
                </c:pt>
                <c:pt idx="28">
                  <c:v>31323</c:v>
                </c:pt>
                <c:pt idx="29">
                  <c:v>31346</c:v>
                </c:pt>
                <c:pt idx="30">
                  <c:v>35476</c:v>
                </c:pt>
                <c:pt idx="31">
                  <c:v>34850</c:v>
                </c:pt>
                <c:pt idx="32">
                  <c:v>34551</c:v>
                </c:pt>
                <c:pt idx="33">
                  <c:v>35390</c:v>
                </c:pt>
                <c:pt idx="34">
                  <c:v>36836</c:v>
                </c:pt>
                <c:pt idx="35">
                  <c:v>34849</c:v>
                </c:pt>
                <c:pt idx="36">
                  <c:v>34731</c:v>
                </c:pt>
                <c:pt idx="37">
                  <c:v>36387</c:v>
                </c:pt>
                <c:pt idx="38">
                  <c:v>41529</c:v>
                </c:pt>
                <c:pt idx="39">
                  <c:v>46574</c:v>
                </c:pt>
                <c:pt idx="40">
                  <c:v>54412</c:v>
                </c:pt>
                <c:pt idx="41">
                  <c:v>57478</c:v>
                </c:pt>
                <c:pt idx="42">
                  <c:v>55934</c:v>
                </c:pt>
                <c:pt idx="43">
                  <c:v>62676</c:v>
                </c:pt>
                <c:pt idx="44">
                  <c:v>61743</c:v>
                </c:pt>
                <c:pt idx="45">
                  <c:v>53639</c:v>
                </c:pt>
                <c:pt idx="46">
                  <c:v>57128</c:v>
                </c:pt>
                <c:pt idx="47">
                  <c:v>49382</c:v>
                </c:pt>
                <c:pt idx="48">
                  <c:v>41606</c:v>
                </c:pt>
              </c:numCache>
            </c:numRef>
          </c:val>
        </c:ser>
        <c:ser>
          <c:idx val="2"/>
          <c:order val="2"/>
          <c:tx>
            <c:strRef>
              <c:f>'Основная 4-2014'!$A$40</c:f>
              <c:strCache>
                <c:ptCount val="1"/>
                <c:pt idx="0">
                  <c:v>Прочие секторы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ysClr val="windowText" lastClr="000000"/>
              </a:solidFill>
            </a:ln>
          </c:spPr>
          <c:val>
            <c:numRef>
              <c:f>'Основная 4-2014'!$B$40:$AX$40</c:f>
              <c:numCache>
                <c:formatCode>#,##0</c:formatCode>
                <c:ptCount val="49"/>
                <c:pt idx="0">
                  <c:v>32795</c:v>
                </c:pt>
                <c:pt idx="1">
                  <c:v>36168</c:v>
                </c:pt>
                <c:pt idx="2">
                  <c:v>39682</c:v>
                </c:pt>
                <c:pt idx="3">
                  <c:v>45432</c:v>
                </c:pt>
                <c:pt idx="4">
                  <c:v>54140</c:v>
                </c:pt>
                <c:pt idx="5">
                  <c:v>60223</c:v>
                </c:pt>
                <c:pt idx="6">
                  <c:v>65460</c:v>
                </c:pt>
                <c:pt idx="7">
                  <c:v>67478</c:v>
                </c:pt>
                <c:pt idx="8">
                  <c:v>75597</c:v>
                </c:pt>
                <c:pt idx="9">
                  <c:v>84309</c:v>
                </c:pt>
                <c:pt idx="10">
                  <c:v>90193</c:v>
                </c:pt>
                <c:pt idx="11">
                  <c:v>102199</c:v>
                </c:pt>
                <c:pt idx="12">
                  <c:v>125027</c:v>
                </c:pt>
                <c:pt idx="13">
                  <c:v>130036</c:v>
                </c:pt>
                <c:pt idx="14">
                  <c:v>143560</c:v>
                </c:pt>
                <c:pt idx="15">
                  <c:v>136693</c:v>
                </c:pt>
                <c:pt idx="16">
                  <c:v>163472</c:v>
                </c:pt>
                <c:pt idx="17">
                  <c:v>192615</c:v>
                </c:pt>
                <c:pt idx="18">
                  <c:v>219332</c:v>
                </c:pt>
                <c:pt idx="19">
                  <c:v>238378</c:v>
                </c:pt>
                <c:pt idx="20">
                  <c:v>261115</c:v>
                </c:pt>
                <c:pt idx="21">
                  <c:v>271449</c:v>
                </c:pt>
                <c:pt idx="22">
                  <c:v>302504</c:v>
                </c:pt>
                <c:pt idx="23">
                  <c:v>306400</c:v>
                </c:pt>
                <c:pt idx="24">
                  <c:v>281354</c:v>
                </c:pt>
                <c:pt idx="25">
                  <c:v>269304</c:v>
                </c:pt>
                <c:pt idx="26">
                  <c:v>290315</c:v>
                </c:pt>
                <c:pt idx="27">
                  <c:v>294179</c:v>
                </c:pt>
                <c:pt idx="28">
                  <c:v>293184</c:v>
                </c:pt>
                <c:pt idx="29">
                  <c:v>290292</c:v>
                </c:pt>
                <c:pt idx="30">
                  <c:v>287504</c:v>
                </c:pt>
                <c:pt idx="31">
                  <c:v>289138</c:v>
                </c:pt>
                <c:pt idx="32">
                  <c:v>297805</c:v>
                </c:pt>
                <c:pt idx="33">
                  <c:v>311532</c:v>
                </c:pt>
                <c:pt idx="34">
                  <c:v>329693</c:v>
                </c:pt>
                <c:pt idx="35">
                  <c:v>321746</c:v>
                </c:pt>
                <c:pt idx="36">
                  <c:v>329842</c:v>
                </c:pt>
                <c:pt idx="37">
                  <c:v>339824</c:v>
                </c:pt>
                <c:pt idx="38">
                  <c:v>341725</c:v>
                </c:pt>
                <c:pt idx="39">
                  <c:v>348943</c:v>
                </c:pt>
                <c:pt idx="40">
                  <c:v>364802</c:v>
                </c:pt>
                <c:pt idx="41">
                  <c:v>408783</c:v>
                </c:pt>
                <c:pt idx="42">
                  <c:v>420939</c:v>
                </c:pt>
                <c:pt idx="43">
                  <c:v>428934</c:v>
                </c:pt>
                <c:pt idx="44">
                  <c:v>436764</c:v>
                </c:pt>
                <c:pt idx="45">
                  <c:v>432734</c:v>
                </c:pt>
                <c:pt idx="46">
                  <c:v>450565</c:v>
                </c:pt>
                <c:pt idx="47">
                  <c:v>423410</c:v>
                </c:pt>
                <c:pt idx="48">
                  <c:v>375022</c:v>
                </c:pt>
              </c:numCache>
            </c:numRef>
          </c:val>
        </c:ser>
        <c:axId val="61777792"/>
        <c:axId val="61998208"/>
      </c:areaChart>
      <c:catAx>
        <c:axId val="61777792"/>
        <c:scaling>
          <c:orientation val="minMax"/>
        </c:scaling>
        <c:axPos val="b"/>
        <c:tickLblPos val="nextTo"/>
        <c:crossAx val="61998208"/>
        <c:crosses val="autoZero"/>
        <c:auto val="1"/>
        <c:lblAlgn val="ctr"/>
        <c:lblOffset val="100"/>
      </c:catAx>
      <c:valAx>
        <c:axId val="61998208"/>
        <c:scaling>
          <c:orientation val="minMax"/>
        </c:scaling>
        <c:axPos val="l"/>
        <c:majorGridlines/>
        <c:numFmt formatCode="#,##0" sourceLinked="1"/>
        <c:tickLblPos val="nextTo"/>
        <c:crossAx val="6177779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2613644773101949"/>
          <c:y val="0.1297846199380161"/>
          <c:w val="0.22707900752781593"/>
          <c:h val="0.70107339533147883"/>
        </c:manualLayout>
      </c:layout>
      <c:txPr>
        <a:bodyPr/>
        <a:lstStyle/>
        <a:p>
          <a:pPr rtl="0">
            <a:defRPr sz="12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Телефон: (342) 210-30-05Факс: (342) 210-59-69Эл. почта: info@pfc.ru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E6029E-6720-4A2B-AAC3-B54CB760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4612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рыр</vt:lpstr>
    </vt:vector>
  </TitlesOfParts>
  <Company>ООО «ПФК»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рыр</dc:title>
  <dc:subject/>
  <dc:creator>trader</dc:creator>
  <cp:keywords/>
  <dc:description/>
  <cp:lastModifiedBy>Коробейников Максим</cp:lastModifiedBy>
  <cp:revision>96</cp:revision>
  <dcterms:created xsi:type="dcterms:W3CDTF">2015-02-02T06:24:00Z</dcterms:created>
  <dcterms:modified xsi:type="dcterms:W3CDTF">2015-04-01T05:50:00Z</dcterms:modified>
</cp:coreProperties>
</file>