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82"/>
      </w:tblGrid>
      <w:tr w:rsidR="00B0317A" w:rsidTr="00B0317A">
        <w:tc>
          <w:tcPr>
            <w:tcW w:w="10682" w:type="dxa"/>
          </w:tcPr>
          <w:p w:rsidR="00B0317A" w:rsidRPr="00B0317A" w:rsidRDefault="00B0317A" w:rsidP="00B0317A">
            <w:pPr>
              <w:spacing w:before="240"/>
              <w:rPr>
                <w:rFonts w:asciiTheme="majorHAnsi" w:hAnsiTheme="majorHAnsi"/>
                <w:b/>
                <w:color w:val="244061" w:themeColor="accent1" w:themeShade="80"/>
                <w:sz w:val="36"/>
                <w:szCs w:val="36"/>
              </w:rPr>
            </w:pPr>
            <w:r w:rsidRPr="00B0317A">
              <w:rPr>
                <w:rFonts w:asciiTheme="majorHAnsi" w:hAnsiTheme="majorHAnsi"/>
                <w:b/>
                <w:color w:val="244061" w:themeColor="accent1" w:themeShade="80"/>
                <w:sz w:val="36"/>
                <w:szCs w:val="36"/>
              </w:rPr>
              <w:t>Обзор текущей ситуации на российском рынке</w:t>
            </w:r>
          </w:p>
        </w:tc>
      </w:tr>
      <w:tr w:rsidR="00B0317A" w:rsidTr="00B0317A">
        <w:tc>
          <w:tcPr>
            <w:tcW w:w="10682" w:type="dxa"/>
          </w:tcPr>
          <w:p w:rsidR="00B0317A" w:rsidRPr="00242904" w:rsidRDefault="002B3ADB" w:rsidP="00B0317A">
            <w:pPr>
              <w:rPr>
                <w:rFonts w:asciiTheme="majorHAnsi" w:hAnsiTheme="majorHAnsi"/>
                <w:color w:val="244061" w:themeColor="accent1" w:themeShade="80"/>
                <w:sz w:val="36"/>
                <w:szCs w:val="36"/>
                <w:lang w:val="en-US"/>
              </w:rPr>
            </w:pPr>
            <w:r>
              <w:rPr>
                <w:rFonts w:asciiTheme="majorHAnsi" w:hAnsiTheme="majorHAnsi"/>
                <w:color w:val="244061" w:themeColor="accent1" w:themeShade="80"/>
                <w:sz w:val="36"/>
                <w:szCs w:val="36"/>
              </w:rPr>
              <w:t>06.05</w:t>
            </w:r>
            <w:r w:rsidR="00B0317A" w:rsidRPr="00B0317A">
              <w:rPr>
                <w:rFonts w:asciiTheme="majorHAnsi" w:hAnsiTheme="majorHAnsi"/>
                <w:color w:val="244061" w:themeColor="accent1" w:themeShade="80"/>
                <w:sz w:val="36"/>
                <w:szCs w:val="36"/>
              </w:rPr>
              <w:t>.2015</w:t>
            </w:r>
          </w:p>
        </w:tc>
      </w:tr>
    </w:tbl>
    <w:p w:rsidR="00CA381E" w:rsidRDefault="00CA381E"/>
    <w:tbl>
      <w:tblPr>
        <w:tblStyle w:val="a3"/>
        <w:tblW w:w="1161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1"/>
        <w:gridCol w:w="5945"/>
      </w:tblGrid>
      <w:tr w:rsidR="00A071AB" w:rsidTr="00EB3766">
        <w:trPr>
          <w:trHeight w:val="3796"/>
        </w:trPr>
        <w:tc>
          <w:tcPr>
            <w:tcW w:w="5671" w:type="dxa"/>
          </w:tcPr>
          <w:p w:rsidR="00A071AB" w:rsidRDefault="00C61D32" w:rsidP="00A071AB">
            <w:r>
              <w:rPr>
                <w:noProof/>
                <w:lang w:eastAsia="ru-RU"/>
              </w:rPr>
              <w:drawing>
                <wp:inline distT="0" distB="0" distL="0" distR="0">
                  <wp:extent cx="1679164" cy="1035170"/>
                  <wp:effectExtent l="19050" t="0" r="0" b="0"/>
                  <wp:docPr id="13" name="Рисунок 13" descr="MICEX IND (MICEXINDEXCF.M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ICEX IND (MICEXINDEXCF.M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354" cy="10359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676F8"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79166" cy="1035170"/>
                  <wp:effectExtent l="19050" t="0" r="0" b="0"/>
                  <wp:docPr id="14" name="Рисунок 16" descr="RTSI INDEX (RTS.R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RTSI INDEX (RTS.R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354" cy="1035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3766" w:rsidRDefault="00EB3766" w:rsidP="00A071AB"/>
          <w:p w:rsidR="002676F8" w:rsidRDefault="00C61D32" w:rsidP="00A071AB">
            <w:r>
              <w:rPr>
                <w:noProof/>
                <w:lang w:eastAsia="ru-RU"/>
              </w:rPr>
              <w:drawing>
                <wp:inline distT="0" distB="0" distL="0" distR="0">
                  <wp:extent cx="1722220" cy="1104182"/>
                  <wp:effectExtent l="19050" t="0" r="0" b="0"/>
                  <wp:docPr id="19" name="Рисунок 19" descr="MICEX CBI TR (MICEXCBITR.M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MICEX CBI TR (MICEXCBITR.M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898" cy="11084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676F8"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36110" cy="1078302"/>
                  <wp:effectExtent l="19050" t="0" r="2190" b="0"/>
                  <wp:docPr id="22" name="Рисунок 22" descr="RTSVX M (RTSVX_M.R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RTSVX M (RTSVX_M.R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221" cy="1079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5" w:type="dxa"/>
          </w:tcPr>
          <w:p w:rsidR="00A071AB" w:rsidRDefault="00E22F7D" w:rsidP="00A071AB">
            <w:r>
              <w:t xml:space="preserve"> </w:t>
            </w:r>
            <w:r w:rsidR="00C61D32">
              <w:rPr>
                <w:noProof/>
                <w:lang w:eastAsia="ru-RU"/>
              </w:rPr>
              <w:drawing>
                <wp:inline distT="0" distB="0" distL="0" distR="0">
                  <wp:extent cx="1679163" cy="1052422"/>
                  <wp:effectExtent l="19050" t="0" r="0" b="0"/>
                  <wp:docPr id="6" name="Рисунок 1" descr="S&amp;P 500 (^GSPC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&amp;P 500 (^GSPC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492" cy="10538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C61D32">
              <w:rPr>
                <w:noProof/>
                <w:lang w:eastAsia="ru-RU"/>
              </w:rPr>
              <w:drawing>
                <wp:inline distT="0" distB="0" distL="0" distR="0">
                  <wp:extent cx="1757991" cy="1056671"/>
                  <wp:effectExtent l="19050" t="0" r="0" b="0"/>
                  <wp:docPr id="7" name="Рисунок 4" descr="VOLATILITY S&amp;P 500 (^VIX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VOLATILITY S&amp;P 500 (^VIX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991" cy="10566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3766" w:rsidRDefault="00EB3766" w:rsidP="00A071AB"/>
          <w:p w:rsidR="002676F8" w:rsidRDefault="002676F8" w:rsidP="002676F8">
            <w:r>
              <w:t xml:space="preserve"> </w:t>
            </w:r>
            <w:r w:rsidR="00C61D32">
              <w:rPr>
                <w:noProof/>
                <w:lang w:eastAsia="ru-RU"/>
              </w:rPr>
              <w:drawing>
                <wp:inline distT="0" distB="0" distL="0" distR="0">
                  <wp:extent cx="1725283" cy="1112807"/>
                  <wp:effectExtent l="19050" t="0" r="8267" b="0"/>
                  <wp:docPr id="10" name="Рисунок 7" descr="NASDAQ Composite (^IXIC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NASDAQ Composite (^IXIC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770" cy="11208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C61D32">
              <w:rPr>
                <w:noProof/>
                <w:lang w:eastAsia="ru-RU"/>
              </w:rPr>
              <w:drawing>
                <wp:inline distT="0" distB="0" distL="0" distR="0">
                  <wp:extent cx="1729572" cy="1109566"/>
                  <wp:effectExtent l="19050" t="0" r="3978" b="0"/>
                  <wp:docPr id="12" name="Рисунок 10" descr="FTSE 100 (^FTS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TSE 100 (^FTS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21" cy="11145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0232" w:rsidRPr="0006497B" w:rsidRDefault="00A13582" w:rsidP="003F0AF5">
      <w:pPr>
        <w:spacing w:after="0"/>
        <w:jc w:val="both"/>
        <w:rPr>
          <w:b/>
          <w:i/>
          <w:color w:val="365F91" w:themeColor="accent1" w:themeShade="BF"/>
          <w:sz w:val="24"/>
        </w:rPr>
      </w:pPr>
      <w:r w:rsidRPr="0088245C">
        <w:rPr>
          <w:b/>
          <w:i/>
          <w:color w:val="365F91" w:themeColor="accent1" w:themeShade="BF"/>
          <w:sz w:val="24"/>
        </w:rPr>
        <w:t xml:space="preserve">События в России </w:t>
      </w:r>
    </w:p>
    <w:p w:rsidR="00BD472F" w:rsidRPr="00D35F69" w:rsidRDefault="00EB0D46" w:rsidP="002E58B2">
      <w:pPr>
        <w:pStyle w:val="af2"/>
        <w:numPr>
          <w:ilvl w:val="0"/>
          <w:numId w:val="27"/>
        </w:numPr>
        <w:spacing w:before="0" w:beforeAutospacing="0"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Резкое укрепление рубля</w:t>
      </w:r>
      <w:r w:rsidR="00167A2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на вчерашних торгах спровоцировало рост РТС на 4,24% (в рублях российский рынок акций подрос на 2%). Нефть продолжила свое ралли, обновляя максимумы этого года – закрывшись на споте </w:t>
      </w:r>
      <w:r w:rsidR="00167A2F">
        <w:rPr>
          <w:rFonts w:asciiTheme="minorHAnsi" w:hAnsiTheme="minorHAnsi"/>
        </w:rPr>
        <w:t xml:space="preserve">+0,7%; на срочном рынке (июньский фьючерс) +1,61%. Сегодня выйдет еженедельная статистика по изменению запасов нефти  в США, эксперты ожидают прирост на 1,3 млн. </w:t>
      </w:r>
      <w:r w:rsidR="00167A2F">
        <w:rPr>
          <w:rFonts w:asciiTheme="minorHAnsi" w:hAnsiTheme="minorHAnsi"/>
          <w:lang w:val="en-US"/>
        </w:rPr>
        <w:t>bbl</w:t>
      </w:r>
      <w:r w:rsidR="00167A2F" w:rsidRPr="00167A2F">
        <w:rPr>
          <w:rFonts w:asciiTheme="minorHAnsi" w:hAnsiTheme="minorHAnsi"/>
        </w:rPr>
        <w:t>.</w:t>
      </w:r>
      <w:r w:rsidR="00167A2F">
        <w:rPr>
          <w:rFonts w:asciiTheme="minorHAnsi" w:hAnsiTheme="minorHAnsi"/>
        </w:rPr>
        <w:t xml:space="preserve"> против прироста на 1,9 млн. </w:t>
      </w:r>
      <w:r w:rsidR="00167A2F">
        <w:rPr>
          <w:rFonts w:asciiTheme="minorHAnsi" w:hAnsiTheme="minorHAnsi"/>
          <w:lang w:val="en-US"/>
        </w:rPr>
        <w:t>bbl</w:t>
      </w:r>
      <w:r w:rsidR="00167A2F">
        <w:rPr>
          <w:rFonts w:asciiTheme="minorHAnsi" w:hAnsiTheme="minorHAnsi"/>
        </w:rPr>
        <w:t xml:space="preserve">. на прошлой неделе. </w:t>
      </w:r>
      <w:r w:rsidR="00167A2F" w:rsidRPr="00167A2F">
        <w:rPr>
          <w:rFonts w:asciiTheme="minorHAnsi" w:hAnsiTheme="minorHAnsi"/>
        </w:rPr>
        <w:t>В условиях непрерывного сокращения количества активно работающих буровых установок производства н</w:t>
      </w:r>
      <w:r w:rsidR="00D35F69">
        <w:rPr>
          <w:rFonts w:asciiTheme="minorHAnsi" w:hAnsiTheme="minorHAnsi"/>
        </w:rPr>
        <w:t xml:space="preserve">ефти может продолжить снижаться, что может подтолкнуть цены в район 70-72 </w:t>
      </w:r>
      <w:r w:rsidR="00D35F69" w:rsidRPr="00D35F69">
        <w:rPr>
          <w:rFonts w:asciiTheme="minorHAnsi" w:hAnsiTheme="minorHAnsi"/>
        </w:rPr>
        <w:t>$/</w:t>
      </w:r>
      <w:r w:rsidR="00D35F69">
        <w:rPr>
          <w:rFonts w:asciiTheme="minorHAnsi" w:hAnsiTheme="minorHAnsi"/>
          <w:lang w:val="en-US"/>
        </w:rPr>
        <w:t>bbl</w:t>
      </w:r>
      <w:r w:rsidR="00D35F69" w:rsidRPr="00D35F69">
        <w:rPr>
          <w:rFonts w:asciiTheme="minorHAnsi" w:hAnsiTheme="minorHAnsi"/>
        </w:rPr>
        <w:t xml:space="preserve">. </w:t>
      </w:r>
    </w:p>
    <w:p w:rsidR="00D35F69" w:rsidRDefault="00D35F69" w:rsidP="002E58B2">
      <w:pPr>
        <w:pStyle w:val="af2"/>
        <w:numPr>
          <w:ilvl w:val="0"/>
          <w:numId w:val="27"/>
        </w:numPr>
        <w:spacing w:before="0" w:beforeAutospacing="0"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Рубль после трехмесячного ралли значительно сократил спрэд с нефтью, чему, в частности, поспособствовали ожидания снижения ключевой ставки (сама новость о снижении не значительно повлияла на рынок). Поскольку на ближайшее время сохраняется позитив в нефти, рубль </w:t>
      </w:r>
      <w:r w:rsidR="00367922">
        <w:rPr>
          <w:rFonts w:asciiTheme="minorHAnsi" w:hAnsiTheme="minorHAnsi"/>
        </w:rPr>
        <w:t xml:space="preserve">все еще обладает потенциалом роста, но этот рост, конечно, не будет таким стремительным и таким независимым от нефти.  </w:t>
      </w:r>
      <w:r>
        <w:rPr>
          <w:rFonts w:asciiTheme="minorHAnsi" w:hAnsiTheme="minorHAnsi"/>
        </w:rPr>
        <w:t xml:space="preserve"> </w:t>
      </w:r>
    </w:p>
    <w:p w:rsidR="00D35F69" w:rsidRDefault="00367922" w:rsidP="00D35F69">
      <w:pPr>
        <w:pStyle w:val="af2"/>
        <w:spacing w:before="0" w:beforeAutospacing="0" w:after="0"/>
        <w:ind w:left="360"/>
        <w:jc w:val="center"/>
        <w:rPr>
          <w:rFonts w:asciiTheme="minorHAnsi" w:hAnsiTheme="minorHAnsi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50.5pt;margin-top:22.5pt;width:38.7pt;height:5.45pt;z-index:251659264" o:connectortype="straight" strokecolor="red">
            <v:stroke endarrow="block"/>
          </v:shape>
        </w:pict>
      </w:r>
      <w:r>
        <w:rPr>
          <w:noProof/>
        </w:rPr>
        <w:pict>
          <v:shape id="_x0000_s1028" type="#_x0000_t32" style="position:absolute;left:0;text-align:left;margin-left:362.05pt;margin-top:38.8pt;width:27.15pt;height:29.25pt;flip:y;z-index:251658240" o:connectortype="straight" strokecolor="red">
            <v:stroke endarrow="block"/>
          </v:shape>
        </w:pict>
      </w:r>
      <w:r w:rsidR="00D35F69">
        <w:rPr>
          <w:noProof/>
        </w:rPr>
        <w:drawing>
          <wp:inline distT="0" distB="0" distL="0" distR="0">
            <wp:extent cx="3914595" cy="2152190"/>
            <wp:effectExtent l="19050" t="0" r="0" b="0"/>
            <wp:docPr id="25" name="Рисунок 25" descr="https://dwq4do82y8xi7.cloudfront.net/x/XioIyhMN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wq4do82y8xi7.cloudfront.net/x/XioIyhMN/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172" cy="2151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9F6" w:rsidRDefault="005E79F6" w:rsidP="005E79F6">
      <w:pPr>
        <w:pStyle w:val="af2"/>
        <w:numPr>
          <w:ilvl w:val="0"/>
          <w:numId w:val="27"/>
        </w:numPr>
        <w:spacing w:before="0" w:beforeAutospacing="0" w:after="0"/>
        <w:jc w:val="both"/>
        <w:rPr>
          <w:rFonts w:asciiTheme="minorHAnsi" w:hAnsiTheme="minorHAnsi"/>
        </w:rPr>
      </w:pPr>
      <w:proofErr w:type="spellStart"/>
      <w:r w:rsidRPr="005E79F6">
        <w:rPr>
          <w:rFonts w:asciiTheme="minorHAnsi" w:hAnsiTheme="minorHAnsi"/>
        </w:rPr>
        <w:t>Уралкалий</w:t>
      </w:r>
      <w:proofErr w:type="spellEnd"/>
      <w:r>
        <w:rPr>
          <w:rFonts w:asciiTheme="minorHAnsi" w:hAnsiTheme="minorHAnsi"/>
        </w:rPr>
        <w:t xml:space="preserve"> </w:t>
      </w:r>
      <w:r w:rsidRPr="005E79F6">
        <w:rPr>
          <w:rFonts w:asciiTheme="minorHAnsi" w:hAnsiTheme="minorHAnsi"/>
        </w:rPr>
        <w:t>сообщает о подписании</w:t>
      </w:r>
      <w:r>
        <w:rPr>
          <w:rFonts w:asciiTheme="minorHAnsi" w:hAnsiTheme="minorHAnsi"/>
        </w:rPr>
        <w:t xml:space="preserve"> </w:t>
      </w:r>
      <w:r w:rsidRPr="005E79F6">
        <w:rPr>
          <w:rFonts w:asciiTheme="minorHAnsi" w:hAnsiTheme="minorHAnsi"/>
        </w:rPr>
        <w:t>100%-ной до</w:t>
      </w:r>
      <w:r>
        <w:rPr>
          <w:rFonts w:asciiTheme="minorHAnsi" w:hAnsiTheme="minorHAnsi"/>
        </w:rPr>
        <w:t xml:space="preserve">черней компанией </w:t>
      </w:r>
      <w:r w:rsidRPr="005E79F6">
        <w:rPr>
          <w:rFonts w:asciiTheme="minorHAnsi" w:hAnsiTheme="minorHAnsi"/>
        </w:rPr>
        <w:t>«</w:t>
      </w:r>
      <w:proofErr w:type="spellStart"/>
      <w:r w:rsidRPr="005E79F6">
        <w:rPr>
          <w:rFonts w:asciiTheme="minorHAnsi" w:hAnsiTheme="minorHAnsi"/>
        </w:rPr>
        <w:t>Уралкалий</w:t>
      </w:r>
      <w:proofErr w:type="spellEnd"/>
      <w:r w:rsidRPr="005E79F6">
        <w:rPr>
          <w:rFonts w:asciiTheme="minorHAnsi" w:hAnsiTheme="minorHAnsi"/>
        </w:rPr>
        <w:t xml:space="preserve"> </w:t>
      </w:r>
      <w:proofErr w:type="spellStart"/>
      <w:r w:rsidRPr="005E79F6">
        <w:rPr>
          <w:rFonts w:asciiTheme="minorHAnsi" w:hAnsiTheme="minorHAnsi"/>
        </w:rPr>
        <w:t>Трейдинг</w:t>
      </w:r>
      <w:proofErr w:type="spellEnd"/>
      <w:r w:rsidRPr="005E79F6">
        <w:rPr>
          <w:rFonts w:asciiTheme="minorHAnsi" w:hAnsiTheme="minorHAnsi"/>
        </w:rPr>
        <w:t xml:space="preserve">» контракта на поставку хлористого калия в Индию в 2015 году. Контракт подписан с компанией IPL — крупнейшим индийским импортером минеральных удобрений — на поставку </w:t>
      </w:r>
      <w:r w:rsidRPr="005E79F6">
        <w:rPr>
          <w:rFonts w:asciiTheme="minorHAnsi" w:hAnsiTheme="minorHAnsi"/>
        </w:rPr>
        <w:lastRenderedPageBreak/>
        <w:t>хлористого калия с мая 2015 года по март 2016 года. Цена поставляемых в Индию калийных удобрений превышает цену контракта прошлого года в регионе на 10 долларов США за тонну. Объем поставок «</w:t>
      </w:r>
      <w:proofErr w:type="spellStart"/>
      <w:r w:rsidRPr="005E79F6">
        <w:rPr>
          <w:rFonts w:asciiTheme="minorHAnsi" w:hAnsiTheme="minorHAnsi"/>
        </w:rPr>
        <w:t>Уралкалия</w:t>
      </w:r>
      <w:proofErr w:type="spellEnd"/>
      <w:r w:rsidRPr="005E79F6">
        <w:rPr>
          <w:rFonts w:asciiTheme="minorHAnsi" w:hAnsiTheme="minorHAnsi"/>
        </w:rPr>
        <w:t>» по контракту с IPL — 800 000 тонн хлористого калия, включая опцион.</w:t>
      </w:r>
      <w:r>
        <w:rPr>
          <w:rFonts w:asciiTheme="minorHAnsi" w:hAnsiTheme="minorHAnsi"/>
        </w:rPr>
        <w:t xml:space="preserve"> </w:t>
      </w:r>
    </w:p>
    <w:p w:rsidR="001309E3" w:rsidRDefault="005E79F6" w:rsidP="005E79F6">
      <w:pPr>
        <w:pStyle w:val="af2"/>
        <w:spacing w:before="0" w:beforeAutospacing="0" w:after="0"/>
        <w:ind w:left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Условия контракта были ожидаемы, поскольку</w:t>
      </w:r>
      <w:r w:rsidR="0050240B">
        <w:rPr>
          <w:rFonts w:asciiTheme="minorHAnsi" w:hAnsiTheme="minorHAnsi"/>
        </w:rPr>
        <w:t xml:space="preserve"> большей частью</w:t>
      </w:r>
      <w:r>
        <w:rPr>
          <w:rFonts w:asciiTheme="minorHAnsi" w:hAnsiTheme="minorHAnsi"/>
        </w:rPr>
        <w:t xml:space="preserve"> зависели от условий поставки в Китай</w:t>
      </w:r>
      <w:r w:rsidR="0050240B">
        <w:rPr>
          <w:rFonts w:asciiTheme="minorHAnsi" w:hAnsiTheme="minorHAnsi"/>
        </w:rPr>
        <w:t>, которые в свою очередь определись условиями, о которых</w:t>
      </w:r>
      <w:r w:rsidR="001309E3">
        <w:rPr>
          <w:rFonts w:asciiTheme="minorHAnsi" w:hAnsiTheme="minorHAnsi"/>
        </w:rPr>
        <w:t xml:space="preserve"> с китайскими покупателями</w:t>
      </w:r>
      <w:r w:rsidR="0050240B">
        <w:rPr>
          <w:rFonts w:asciiTheme="minorHAnsi" w:hAnsiTheme="minorHAnsi"/>
        </w:rPr>
        <w:t xml:space="preserve"> договорился </w:t>
      </w:r>
      <w:proofErr w:type="spellStart"/>
      <w:r w:rsidR="0050240B">
        <w:rPr>
          <w:rFonts w:asciiTheme="minorHAnsi" w:hAnsiTheme="minorHAnsi"/>
        </w:rPr>
        <w:t>Беларуськалий</w:t>
      </w:r>
      <w:proofErr w:type="spellEnd"/>
      <w:r w:rsidR="001309E3">
        <w:rPr>
          <w:rFonts w:asciiTheme="minorHAnsi" w:hAnsiTheme="minorHAnsi"/>
        </w:rPr>
        <w:t xml:space="preserve">. В предыдущих обзорах уже приводился </w:t>
      </w:r>
      <w:r w:rsidR="0077438C">
        <w:rPr>
          <w:rFonts w:asciiTheme="minorHAnsi" w:hAnsiTheme="minorHAnsi"/>
        </w:rPr>
        <w:t xml:space="preserve">анализ </w:t>
      </w:r>
      <w:r w:rsidR="001309E3">
        <w:rPr>
          <w:rFonts w:asciiTheme="minorHAnsi" w:hAnsiTheme="minorHAnsi"/>
        </w:rPr>
        <w:t>условий этой сделки и ее последствий практически для всех</w:t>
      </w:r>
      <w:r w:rsidR="0077438C">
        <w:rPr>
          <w:rFonts w:asciiTheme="minorHAnsi" w:hAnsiTheme="minorHAnsi"/>
        </w:rPr>
        <w:t xml:space="preserve"> мировых</w:t>
      </w:r>
      <w:r w:rsidR="001309E3">
        <w:rPr>
          <w:rFonts w:asciiTheme="minorHAnsi" w:hAnsiTheme="minorHAnsi"/>
        </w:rPr>
        <w:t xml:space="preserve"> производителей калия. </w:t>
      </w:r>
    </w:p>
    <w:p w:rsidR="0077438C" w:rsidRPr="000846AF" w:rsidRDefault="001309E3" w:rsidP="005E79F6">
      <w:pPr>
        <w:pStyle w:val="af2"/>
        <w:spacing w:before="0" w:beforeAutospacing="0" w:after="0"/>
        <w:ind w:left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Цена прошлогоднего контракта с Индией составляла 322</w:t>
      </w:r>
      <w:r w:rsidRPr="001309E3">
        <w:rPr>
          <w:rFonts w:asciiTheme="minorHAnsi" w:hAnsiTheme="minorHAnsi"/>
        </w:rPr>
        <w:t>$/</w:t>
      </w:r>
      <w:r>
        <w:rPr>
          <w:rFonts w:asciiTheme="minorHAnsi" w:hAnsiTheme="minorHAnsi"/>
          <w:lang w:val="en-US"/>
        </w:rPr>
        <w:t>ton</w:t>
      </w:r>
      <w:r>
        <w:rPr>
          <w:rFonts w:asciiTheme="minorHAnsi" w:hAnsiTheme="minorHAnsi"/>
        </w:rPr>
        <w:t xml:space="preserve">, ранее рынок ожидал </w:t>
      </w:r>
      <w:r w:rsidR="0077438C">
        <w:rPr>
          <w:rFonts w:asciiTheme="minorHAnsi" w:hAnsiTheme="minorHAnsi"/>
        </w:rPr>
        <w:t>роста,</w:t>
      </w:r>
      <w:r>
        <w:rPr>
          <w:rFonts w:asciiTheme="minorHAnsi" w:hAnsiTheme="minorHAnsi"/>
        </w:rPr>
        <w:t xml:space="preserve"> по меньшей </w:t>
      </w:r>
      <w:r w:rsidR="0077438C">
        <w:rPr>
          <w:rFonts w:asciiTheme="minorHAnsi" w:hAnsiTheme="minorHAnsi"/>
        </w:rPr>
        <w:t>мере,</w:t>
      </w:r>
      <w:r>
        <w:rPr>
          <w:rFonts w:asciiTheme="minorHAnsi" w:hAnsiTheme="minorHAnsi"/>
        </w:rPr>
        <w:t xml:space="preserve"> на 6%, однако после новостей о Китайском контракте инвесторы стали менее оптимистичны. В связи с этим, повышение цены поставки на 10</w:t>
      </w:r>
      <w:r w:rsidRPr="001309E3">
        <w:rPr>
          <w:rFonts w:asciiTheme="minorHAnsi" w:hAnsiTheme="minorHAnsi"/>
        </w:rPr>
        <w:t>$/</w:t>
      </w:r>
      <w:r>
        <w:rPr>
          <w:rFonts w:asciiTheme="minorHAnsi" w:hAnsiTheme="minorHAnsi"/>
          <w:lang w:val="en-US"/>
        </w:rPr>
        <w:t>ton</w:t>
      </w:r>
      <w:r w:rsidRPr="001309E3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не</w:t>
      </w:r>
      <w:r w:rsidRPr="001309E3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стала сюрпризом для рынка, каким стала</w:t>
      </w:r>
      <w:r w:rsidR="0077438C">
        <w:rPr>
          <w:rFonts w:asciiTheme="minorHAnsi" w:hAnsiTheme="minorHAnsi"/>
        </w:rPr>
        <w:t xml:space="preserve">, например, </w:t>
      </w:r>
      <w:r>
        <w:rPr>
          <w:rFonts w:asciiTheme="minorHAnsi" w:hAnsiTheme="minorHAnsi"/>
        </w:rPr>
        <w:t>новость об обратном выкупе акций</w:t>
      </w:r>
      <w:r w:rsidR="000846AF">
        <w:rPr>
          <w:rFonts w:asciiTheme="minorHAnsi" w:hAnsiTheme="minorHAnsi"/>
        </w:rPr>
        <w:t xml:space="preserve"> на сумму 1,5 млрд. дол</w:t>
      </w:r>
      <w:proofErr w:type="gramStart"/>
      <w:r w:rsidR="000846AF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, </w:t>
      </w:r>
      <w:proofErr w:type="gramEnd"/>
      <w:r>
        <w:rPr>
          <w:rFonts w:asciiTheme="minorHAnsi" w:hAnsiTheme="minorHAnsi"/>
        </w:rPr>
        <w:t xml:space="preserve">анонсированном компанией </w:t>
      </w:r>
      <w:r w:rsidR="0077438C">
        <w:rPr>
          <w:rFonts w:asciiTheme="minorHAnsi" w:hAnsiTheme="minorHAnsi"/>
        </w:rPr>
        <w:t xml:space="preserve">в конце апреля. </w:t>
      </w:r>
    </w:p>
    <w:p w:rsidR="005E79F6" w:rsidRDefault="0077438C" w:rsidP="0077438C">
      <w:pPr>
        <w:pStyle w:val="af2"/>
        <w:spacing w:before="0" w:beforeAutospacing="0" w:after="0"/>
        <w:ind w:left="720"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419.6pt;margin-top:39.4pt;width:54.25pt;height:22.4pt;z-index:251663360" filled="f" stroked="f">
            <v:textbox>
              <w:txbxContent>
                <w:p w:rsidR="0077438C" w:rsidRPr="0077438C" w:rsidRDefault="0077438C" w:rsidP="0077438C">
                  <w:pPr>
                    <w:jc w:val="center"/>
                    <w:rPr>
                      <w:b/>
                      <w:lang w:val="en-US"/>
                    </w:rPr>
                  </w:pPr>
                  <w:r w:rsidRPr="0077438C">
                    <w:rPr>
                      <w:b/>
                      <w:lang w:val="en-US"/>
                    </w:rPr>
                    <w:t>Buyback</w:t>
                  </w:r>
                </w:p>
              </w:txbxContent>
            </v:textbox>
          </v:shape>
        </w:pict>
      </w:r>
      <w:r>
        <w:rPr>
          <w:rFonts w:asciiTheme="minorHAnsi" w:hAnsiTheme="minorHAnsi"/>
          <w:noProof/>
        </w:rPr>
        <w:pict>
          <v:shape id="_x0000_s1032" type="#_x0000_t32" style="position:absolute;left:0;text-align:left;margin-left:438.05pt;margin-top:104.65pt;width:16.95pt;height:25.85pt;z-index:251662336" o:connectortype="straight" strokecolor="red">
            <v:stroke endarrow="block"/>
          </v:shape>
        </w:pict>
      </w:r>
      <w:r>
        <w:rPr>
          <w:rFonts w:asciiTheme="minorHAnsi" w:hAnsiTheme="minorHAnsi"/>
          <w:noProof/>
        </w:rPr>
        <w:pict>
          <v:shape id="_x0000_s1031" type="#_x0000_t32" style="position:absolute;left:0;text-align:left;margin-left:455pt;margin-top:57.9pt;width:1.35pt;height:108pt;z-index:251661312" o:connectortype="straight" strokecolor="red">
            <v:stroke dashstyle="dash"/>
          </v:shape>
        </w:pict>
      </w:r>
      <w:r>
        <w:rPr>
          <w:rFonts w:asciiTheme="minorHAnsi" w:hAnsiTheme="minorHAnsi"/>
          <w:noProof/>
        </w:rPr>
        <w:pict>
          <v:shape id="_x0000_s1030" type="#_x0000_t32" style="position:absolute;left:0;text-align:left;margin-left:436.7pt;margin-top:57.1pt;width:1.35pt;height:108pt;z-index:251660288" o:connectortype="straight" strokecolor="red">
            <v:stroke dashstyle="dash"/>
          </v:shape>
        </w:pict>
      </w:r>
      <w:r>
        <w:rPr>
          <w:rFonts w:asciiTheme="minorHAnsi" w:hAnsiTheme="minorHAnsi"/>
          <w:noProof/>
        </w:rPr>
        <w:drawing>
          <wp:inline distT="0" distB="0" distL="0" distR="0">
            <wp:extent cx="5043913" cy="2256413"/>
            <wp:effectExtent l="19050" t="0" r="4337" b="0"/>
            <wp:docPr id="28" name="Рисунок 28" descr="C:\Users\broker\AppData\Local\Temp\chart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broker\AppData\Local\Temp\chart-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367" cy="2256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6AF" w:rsidRDefault="000846AF" w:rsidP="000846AF">
      <w:pPr>
        <w:pStyle w:val="af2"/>
        <w:spacing w:before="0" w:beforeAutospacing="0" w:after="0"/>
        <w:ind w:left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Несмотря на то, что у компании все еще есть «</w:t>
      </w:r>
      <w:proofErr w:type="gramStart"/>
      <w:r>
        <w:rPr>
          <w:rFonts w:asciiTheme="minorHAnsi" w:hAnsiTheme="minorHAnsi"/>
        </w:rPr>
        <w:t>кубышка</w:t>
      </w:r>
      <w:proofErr w:type="gramEnd"/>
      <w:r>
        <w:rPr>
          <w:rFonts w:asciiTheme="minorHAnsi" w:hAnsiTheme="minorHAnsi"/>
        </w:rPr>
        <w:t>» в виде накопленной нераспределенной прибыли, с учетом того, что компания наметила весьма впечатляющие инвестиционные планы на ближайшее будущее</w:t>
      </w:r>
      <w:r w:rsidR="00504DB0">
        <w:rPr>
          <w:rFonts w:asciiTheme="minorHAnsi" w:hAnsiTheme="minorHAnsi"/>
        </w:rPr>
        <w:t>, а часть производственных мощностей пока заморожены</w:t>
      </w:r>
      <w:r>
        <w:rPr>
          <w:rFonts w:asciiTheme="minorHAnsi" w:hAnsiTheme="minorHAnsi"/>
        </w:rPr>
        <w:t xml:space="preserve">, надолго ее не хватит.  </w:t>
      </w:r>
      <w:r w:rsidR="00504DB0">
        <w:rPr>
          <w:rFonts w:asciiTheme="minorHAnsi" w:hAnsiTheme="minorHAnsi"/>
        </w:rPr>
        <w:t>Новость поставила под угрозу кредитный рейтинг компании –</w:t>
      </w:r>
      <w:r w:rsidR="007E6B6E" w:rsidRPr="007E6B6E">
        <w:rPr>
          <w:rFonts w:asciiTheme="minorHAnsi" w:hAnsiTheme="minorHAnsi"/>
        </w:rPr>
        <w:t xml:space="preserve"> </w:t>
      </w:r>
      <w:r w:rsidR="007E6B6E">
        <w:rPr>
          <w:rFonts w:asciiTheme="minorHAnsi" w:hAnsiTheme="minorHAnsi"/>
        </w:rPr>
        <w:t>согласно прогнозам в результате сделки отношение денежного потока от операционной деятельности до изменения оборотного капитала к долгу значительно снизится (ниже 45%). Р</w:t>
      </w:r>
      <w:r>
        <w:rPr>
          <w:rFonts w:asciiTheme="minorHAnsi" w:hAnsiTheme="minorHAnsi"/>
        </w:rPr>
        <w:t xml:space="preserve">ейтинг </w:t>
      </w:r>
      <w:r>
        <w:rPr>
          <w:rFonts w:asciiTheme="minorHAnsi" w:hAnsiTheme="minorHAnsi"/>
          <w:lang w:val="en-US"/>
        </w:rPr>
        <w:t>Fitch</w:t>
      </w:r>
      <w:r>
        <w:rPr>
          <w:rFonts w:asciiTheme="minorHAnsi" w:hAnsiTheme="minorHAnsi"/>
        </w:rPr>
        <w:t xml:space="preserve"> на данный момент остается на уровне ВВ</w:t>
      </w:r>
      <w:proofErr w:type="gramStart"/>
      <w:r>
        <w:rPr>
          <w:rFonts w:asciiTheme="minorHAnsi" w:hAnsiTheme="minorHAnsi"/>
        </w:rPr>
        <w:t>В-</w:t>
      </w:r>
      <w:proofErr w:type="gramEnd"/>
      <w:r>
        <w:rPr>
          <w:rFonts w:asciiTheme="minorHAnsi" w:hAnsiTheme="minorHAnsi"/>
        </w:rPr>
        <w:t xml:space="preserve">, но прогноз был изменен на «Негативный». </w:t>
      </w:r>
      <w:r w:rsidRPr="000846A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</w:p>
    <w:p w:rsidR="007E6B6E" w:rsidRDefault="007E6B6E" w:rsidP="000846AF">
      <w:pPr>
        <w:pStyle w:val="af2"/>
        <w:spacing w:before="0" w:beforeAutospacing="0" w:after="0"/>
        <w:ind w:left="720"/>
        <w:jc w:val="both"/>
        <w:rPr>
          <w:rFonts w:asciiTheme="minorHAnsi" w:hAnsiTheme="minorHAnsi"/>
        </w:rPr>
      </w:pPr>
    </w:p>
    <w:p w:rsidR="007E6B6E" w:rsidRPr="001309E3" w:rsidRDefault="007E6B6E" w:rsidP="000846AF">
      <w:pPr>
        <w:pStyle w:val="af2"/>
        <w:spacing w:before="0" w:beforeAutospacing="0" w:after="0"/>
        <w:ind w:left="720"/>
        <w:jc w:val="both"/>
        <w:rPr>
          <w:rFonts w:asciiTheme="minorHAnsi" w:hAnsiTheme="minorHAnsi"/>
        </w:rPr>
      </w:pPr>
    </w:p>
    <w:p w:rsidR="00BD472F" w:rsidRDefault="00BD472F" w:rsidP="002E58B2">
      <w:pPr>
        <w:spacing w:after="0" w:line="240" w:lineRule="auto"/>
        <w:jc w:val="both"/>
        <w:rPr>
          <w:b/>
          <w:sz w:val="20"/>
        </w:rPr>
      </w:pPr>
    </w:p>
    <w:p w:rsidR="00BD472F" w:rsidRDefault="00BD472F" w:rsidP="002E58B2">
      <w:pPr>
        <w:spacing w:after="0" w:line="240" w:lineRule="auto"/>
        <w:jc w:val="both"/>
        <w:rPr>
          <w:b/>
          <w:sz w:val="20"/>
        </w:rPr>
      </w:pPr>
    </w:p>
    <w:p w:rsidR="000828E3" w:rsidRPr="0042415E" w:rsidRDefault="000828E3" w:rsidP="002E58B2">
      <w:pPr>
        <w:spacing w:after="0" w:line="240" w:lineRule="auto"/>
        <w:jc w:val="both"/>
        <w:rPr>
          <w:b/>
          <w:sz w:val="20"/>
        </w:rPr>
      </w:pPr>
      <w:r>
        <w:rPr>
          <w:b/>
          <w:sz w:val="20"/>
          <w:lang w:val="en-US"/>
        </w:rPr>
        <w:t>Disclaimer</w:t>
      </w:r>
    </w:p>
    <w:p w:rsidR="00FB420D" w:rsidRPr="00DD51E7" w:rsidRDefault="00A071AB" w:rsidP="002E58B2">
      <w:pPr>
        <w:spacing w:after="0" w:line="240" w:lineRule="auto"/>
        <w:jc w:val="both"/>
        <w:rPr>
          <w:sz w:val="20"/>
        </w:rPr>
      </w:pPr>
      <w:r w:rsidRPr="00DD51E7">
        <w:rPr>
          <w:sz w:val="18"/>
        </w:rPr>
        <w:t>Приведенная информация не содержит инвестиционных советов, предоставляется исключительно в информационных целях и не является консультацией, офертой, требованием, просьбой или рекомендацией продать, купить или предоставить (напрямую или косвенно) какие-либо бумаги или производные инструменты. Вся информация получена из открытых источников, признанных н</w:t>
      </w:r>
      <w:r w:rsidR="00DC62EB" w:rsidRPr="00DD51E7">
        <w:rPr>
          <w:sz w:val="18"/>
        </w:rPr>
        <w:t>адежными, однак</w:t>
      </w:r>
      <w:proofErr w:type="gramStart"/>
      <w:r w:rsidR="00DC62EB" w:rsidRPr="00DD51E7">
        <w:rPr>
          <w:sz w:val="18"/>
        </w:rPr>
        <w:t>о ООО</w:t>
      </w:r>
      <w:proofErr w:type="gramEnd"/>
      <w:r w:rsidR="00DC62EB" w:rsidRPr="00DD51E7">
        <w:rPr>
          <w:sz w:val="18"/>
        </w:rPr>
        <w:t xml:space="preserve"> «Пермская фондовая к</w:t>
      </w:r>
      <w:r w:rsidRPr="00DD51E7">
        <w:rPr>
          <w:sz w:val="18"/>
        </w:rPr>
        <w:t xml:space="preserve">омпания» не несет ответственности за достоверность данных, приведенных в данном отчете.  </w:t>
      </w:r>
      <w:r w:rsidR="00DC62EB" w:rsidRPr="00DD51E7">
        <w:rPr>
          <w:sz w:val="18"/>
        </w:rPr>
        <w:t>Б</w:t>
      </w:r>
      <w:r w:rsidRPr="00DD51E7">
        <w:rPr>
          <w:sz w:val="18"/>
        </w:rPr>
        <w:t xml:space="preserve">удет </w:t>
      </w:r>
      <w:r w:rsidR="00DC62EB" w:rsidRPr="00DD51E7">
        <w:rPr>
          <w:sz w:val="18"/>
        </w:rPr>
        <w:t xml:space="preserve">также </w:t>
      </w:r>
      <w:r w:rsidRPr="00DD51E7">
        <w:rPr>
          <w:sz w:val="18"/>
        </w:rPr>
        <w:t>считаться, что любой инвестор,  получивший данную информацию, составил собственное мнение относительно перспектив инвестирования в те или иные инструменты, упомянутые выше, и действовал на основан</w:t>
      </w:r>
      <w:r w:rsidR="00DC62EB" w:rsidRPr="00DD51E7">
        <w:rPr>
          <w:sz w:val="18"/>
        </w:rPr>
        <w:t>ии этого мнения. ООО «Пермская фондовая к</w:t>
      </w:r>
      <w:r w:rsidRPr="00DD51E7">
        <w:rPr>
          <w:sz w:val="18"/>
        </w:rPr>
        <w:t xml:space="preserve">омпания» снимает с себя любую ответственность за прямой или косвенный ущерб, потери или издержки, которые могли возникнуть вследствие использования информации, приведенной в данном обзоре. </w:t>
      </w:r>
    </w:p>
    <w:sectPr w:rsidR="00FB420D" w:rsidRPr="00DD51E7" w:rsidSect="00123F1B">
      <w:headerReference w:type="default" r:id="rId19"/>
      <w:footerReference w:type="default" r:id="rId20"/>
      <w:pgSz w:w="11906" w:h="16838"/>
      <w:pgMar w:top="720" w:right="720" w:bottom="720" w:left="720" w:header="22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325" w:rsidRDefault="00101325" w:rsidP="00A071AB">
      <w:pPr>
        <w:spacing w:after="0" w:line="240" w:lineRule="auto"/>
      </w:pPr>
      <w:r>
        <w:separator/>
      </w:r>
    </w:p>
  </w:endnote>
  <w:endnote w:type="continuationSeparator" w:id="0">
    <w:p w:rsidR="00101325" w:rsidRDefault="00101325" w:rsidP="00A07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17A" w:rsidRPr="00B0317A" w:rsidRDefault="00B0317A">
    <w:pPr>
      <w:pStyle w:val="a5"/>
      <w:rPr>
        <w:color w:val="17365D" w:themeColor="text2" w:themeShade="BF"/>
      </w:rPr>
    </w:pPr>
    <w:r w:rsidRPr="00B0317A">
      <w:rPr>
        <w:color w:val="17365D" w:themeColor="text2" w:themeShade="BF"/>
      </w:rPr>
      <w:t>ООО «Пермская фондовая компания»</w:t>
    </w:r>
    <w:r>
      <w:rPr>
        <w:color w:val="17365D" w:themeColor="text2" w:themeShade="BF"/>
      </w:rPr>
      <w:t xml:space="preserve">                                                                    </w:t>
    </w:r>
    <w:proofErr w:type="spellStart"/>
    <w:r>
      <w:rPr>
        <w:color w:val="17365D" w:themeColor="text2" w:themeShade="BF"/>
      </w:rPr>
      <w:t>т</w:t>
    </w:r>
    <w:r w:rsidRPr="00B0317A">
      <w:rPr>
        <w:color w:val="17365D" w:themeColor="text2" w:themeShade="BF"/>
      </w:rPr>
      <w:t>рейдеры</w:t>
    </w:r>
    <w:proofErr w:type="spellEnd"/>
    <w:r w:rsidRPr="00B0317A">
      <w:rPr>
        <w:color w:val="17365D" w:themeColor="text2" w:themeShade="BF"/>
      </w:rPr>
      <w:t xml:space="preserve"> (342) 210-59-64, 210-59-76</w:t>
    </w:r>
  </w:p>
  <w:p w:rsidR="00C94181" w:rsidRPr="00A071AB" w:rsidRDefault="00101325" w:rsidP="00A071A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325" w:rsidRDefault="00101325" w:rsidP="00A071AB">
      <w:pPr>
        <w:spacing w:after="0" w:line="240" w:lineRule="auto"/>
      </w:pPr>
      <w:r>
        <w:separator/>
      </w:r>
    </w:p>
  </w:footnote>
  <w:footnote w:type="continuationSeparator" w:id="0">
    <w:p w:rsidR="00101325" w:rsidRDefault="00101325" w:rsidP="00A07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F1B" w:rsidRPr="00123F1B" w:rsidRDefault="00123F1B" w:rsidP="00123F1B">
    <w:pPr>
      <w:pStyle w:val="aa"/>
      <w:tabs>
        <w:tab w:val="clear" w:pos="4677"/>
        <w:tab w:val="clear" w:pos="9355"/>
        <w:tab w:val="left" w:pos="3030"/>
      </w:tabs>
    </w:pPr>
    <w:r w:rsidRPr="00123F1B">
      <w:t xml:space="preserve">  </w:t>
    </w:r>
    <w:r w:rsidR="00B0317A">
      <w:rPr>
        <w:noProof/>
        <w:lang w:eastAsia="ru-RU"/>
      </w:rPr>
      <w:drawing>
        <wp:inline distT="0" distB="0" distL="0" distR="0">
          <wp:extent cx="1227519" cy="413468"/>
          <wp:effectExtent l="0" t="0" r="0" b="0"/>
          <wp:docPr id="2" name="Рисунок 2" descr="C:\Documents and Settings\alena\Мои документы\Лого ГК\Logo ПФК — копия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alena\Мои документы\Лого ГК\Logo ПФК — копия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462" cy="413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123F1B">
      <w:rPr>
        <w:b/>
      </w:rPr>
      <w:t xml:space="preserve">           </w:t>
    </w:r>
    <w:r w:rsidRPr="00123F1B">
      <w:rPr>
        <w:b/>
        <w:sz w:val="32"/>
        <w:szCs w:val="32"/>
      </w:rPr>
      <w:t xml:space="preserve">                                              </w:t>
    </w:r>
    <w:r>
      <w:rPr>
        <w:b/>
        <w:sz w:val="32"/>
        <w:szCs w:val="32"/>
      </w:rPr>
      <w:t xml:space="preserve">                          </w:t>
    </w:r>
    <w:r w:rsidRPr="00123F1B">
      <w:rPr>
        <w:b/>
        <w:color w:val="17365D" w:themeColor="text2" w:themeShade="BF"/>
        <w:sz w:val="32"/>
        <w:szCs w:val="32"/>
        <w:lang w:val="en-US"/>
      </w:rPr>
      <w:t>www</w:t>
    </w:r>
    <w:r w:rsidRPr="00123F1B">
      <w:rPr>
        <w:b/>
        <w:color w:val="17365D" w:themeColor="text2" w:themeShade="BF"/>
        <w:sz w:val="32"/>
        <w:szCs w:val="32"/>
      </w:rPr>
      <w:t>.</w:t>
    </w:r>
    <w:proofErr w:type="spellStart"/>
    <w:r w:rsidRPr="00123F1B">
      <w:rPr>
        <w:b/>
        <w:color w:val="17365D" w:themeColor="text2" w:themeShade="BF"/>
        <w:sz w:val="30"/>
        <w:szCs w:val="30"/>
        <w:lang w:val="en-US"/>
      </w:rPr>
      <w:t>pfc</w:t>
    </w:r>
    <w:proofErr w:type="spellEnd"/>
    <w:r w:rsidRPr="00123F1B">
      <w:rPr>
        <w:b/>
        <w:color w:val="17365D" w:themeColor="text2" w:themeShade="BF"/>
        <w:sz w:val="30"/>
        <w:szCs w:val="30"/>
      </w:rPr>
      <w:t>.</w:t>
    </w:r>
    <w:proofErr w:type="spellStart"/>
    <w:r w:rsidRPr="00123F1B">
      <w:rPr>
        <w:b/>
        <w:color w:val="17365D" w:themeColor="text2" w:themeShade="BF"/>
        <w:sz w:val="30"/>
        <w:szCs w:val="30"/>
        <w:lang w:val="en-US"/>
      </w:rPr>
      <w:t>ru</w:t>
    </w:r>
    <w:proofErr w:type="spellEnd"/>
  </w:p>
  <w:p w:rsidR="00123F1B" w:rsidRDefault="00123F1B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9C6"/>
    <w:multiLevelType w:val="hybridMultilevel"/>
    <w:tmpl w:val="0AE66DC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E582F"/>
    <w:multiLevelType w:val="hybridMultilevel"/>
    <w:tmpl w:val="9BA8E8F8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D32B1"/>
    <w:multiLevelType w:val="hybridMultilevel"/>
    <w:tmpl w:val="D1FA1A4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7158D"/>
    <w:multiLevelType w:val="hybridMultilevel"/>
    <w:tmpl w:val="DC0079B8"/>
    <w:lvl w:ilvl="0" w:tplc="028E3CCC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2821DF4"/>
    <w:multiLevelType w:val="hybridMultilevel"/>
    <w:tmpl w:val="D45EA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5580A"/>
    <w:multiLevelType w:val="hybridMultilevel"/>
    <w:tmpl w:val="3AD6B7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960594"/>
    <w:multiLevelType w:val="hybridMultilevel"/>
    <w:tmpl w:val="412A5E82"/>
    <w:lvl w:ilvl="0" w:tplc="028E3CCC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BB157AD"/>
    <w:multiLevelType w:val="hybridMultilevel"/>
    <w:tmpl w:val="7A7AF786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C5534E"/>
    <w:multiLevelType w:val="hybridMultilevel"/>
    <w:tmpl w:val="267495B8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A30361"/>
    <w:multiLevelType w:val="hybridMultilevel"/>
    <w:tmpl w:val="AB849454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DB2C06"/>
    <w:multiLevelType w:val="hybridMultilevel"/>
    <w:tmpl w:val="0AD83FE8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205DD0"/>
    <w:multiLevelType w:val="hybridMultilevel"/>
    <w:tmpl w:val="799018BE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FE70D0"/>
    <w:multiLevelType w:val="hybridMultilevel"/>
    <w:tmpl w:val="EAB6FE7A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260EA8"/>
    <w:multiLevelType w:val="hybridMultilevel"/>
    <w:tmpl w:val="CCCA01E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D547FF"/>
    <w:multiLevelType w:val="hybridMultilevel"/>
    <w:tmpl w:val="9946B4F4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C466CF"/>
    <w:multiLevelType w:val="hybridMultilevel"/>
    <w:tmpl w:val="DE70F212"/>
    <w:lvl w:ilvl="0" w:tplc="028E3CCC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D2422C5"/>
    <w:multiLevelType w:val="hybridMultilevel"/>
    <w:tmpl w:val="2D989848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5B7589"/>
    <w:multiLevelType w:val="hybridMultilevel"/>
    <w:tmpl w:val="91C0F49A"/>
    <w:lvl w:ilvl="0" w:tplc="028E3CCC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553684C"/>
    <w:multiLevelType w:val="hybridMultilevel"/>
    <w:tmpl w:val="D354E6E6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B06C40"/>
    <w:multiLevelType w:val="hybridMultilevel"/>
    <w:tmpl w:val="78827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4F790D"/>
    <w:multiLevelType w:val="hybridMultilevel"/>
    <w:tmpl w:val="88D85EC6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FE0E94"/>
    <w:multiLevelType w:val="hybridMultilevel"/>
    <w:tmpl w:val="E3549646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043D84"/>
    <w:multiLevelType w:val="hybridMultilevel"/>
    <w:tmpl w:val="718A5A1E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034DE4"/>
    <w:multiLevelType w:val="hybridMultilevel"/>
    <w:tmpl w:val="B102486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6C25D0"/>
    <w:multiLevelType w:val="hybridMultilevel"/>
    <w:tmpl w:val="9B162EB2"/>
    <w:lvl w:ilvl="0" w:tplc="028E3CCC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E317B27"/>
    <w:multiLevelType w:val="hybridMultilevel"/>
    <w:tmpl w:val="AE569EF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9A2ED3"/>
    <w:multiLevelType w:val="hybridMultilevel"/>
    <w:tmpl w:val="6172E66A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DB4BD8"/>
    <w:multiLevelType w:val="hybridMultilevel"/>
    <w:tmpl w:val="775A540E"/>
    <w:lvl w:ilvl="0" w:tplc="028E3CCC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5"/>
  </w:num>
  <w:num w:numId="3">
    <w:abstractNumId w:val="7"/>
  </w:num>
  <w:num w:numId="4">
    <w:abstractNumId w:val="26"/>
  </w:num>
  <w:num w:numId="5">
    <w:abstractNumId w:val="22"/>
  </w:num>
  <w:num w:numId="6">
    <w:abstractNumId w:val="25"/>
  </w:num>
  <w:num w:numId="7">
    <w:abstractNumId w:val="9"/>
  </w:num>
  <w:num w:numId="8">
    <w:abstractNumId w:val="18"/>
  </w:num>
  <w:num w:numId="9">
    <w:abstractNumId w:val="13"/>
  </w:num>
  <w:num w:numId="10">
    <w:abstractNumId w:val="14"/>
  </w:num>
  <w:num w:numId="11">
    <w:abstractNumId w:val="4"/>
  </w:num>
  <w:num w:numId="12">
    <w:abstractNumId w:val="2"/>
  </w:num>
  <w:num w:numId="13">
    <w:abstractNumId w:val="15"/>
  </w:num>
  <w:num w:numId="14">
    <w:abstractNumId w:val="0"/>
  </w:num>
  <w:num w:numId="15">
    <w:abstractNumId w:val="24"/>
  </w:num>
  <w:num w:numId="16">
    <w:abstractNumId w:val="20"/>
  </w:num>
  <w:num w:numId="17">
    <w:abstractNumId w:val="11"/>
  </w:num>
  <w:num w:numId="18">
    <w:abstractNumId w:val="10"/>
  </w:num>
  <w:num w:numId="19">
    <w:abstractNumId w:val="17"/>
  </w:num>
  <w:num w:numId="20">
    <w:abstractNumId w:val="8"/>
  </w:num>
  <w:num w:numId="21">
    <w:abstractNumId w:val="6"/>
  </w:num>
  <w:num w:numId="22">
    <w:abstractNumId w:val="23"/>
  </w:num>
  <w:num w:numId="23">
    <w:abstractNumId w:val="19"/>
  </w:num>
  <w:num w:numId="24">
    <w:abstractNumId w:val="16"/>
  </w:num>
  <w:num w:numId="25">
    <w:abstractNumId w:val="21"/>
  </w:num>
  <w:num w:numId="26">
    <w:abstractNumId w:val="1"/>
  </w:num>
  <w:num w:numId="27">
    <w:abstractNumId w:val="12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183298">
      <o:colormru v:ext="edit" colors="#ffc715,#fec200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A071AB"/>
    <w:rsid w:val="000023FC"/>
    <w:rsid w:val="00005EE5"/>
    <w:rsid w:val="00011F6D"/>
    <w:rsid w:val="00012A3F"/>
    <w:rsid w:val="00012B1D"/>
    <w:rsid w:val="000205F3"/>
    <w:rsid w:val="00020B20"/>
    <w:rsid w:val="00020CE2"/>
    <w:rsid w:val="00025C62"/>
    <w:rsid w:val="00032B8E"/>
    <w:rsid w:val="00037772"/>
    <w:rsid w:val="000435D5"/>
    <w:rsid w:val="00047D6E"/>
    <w:rsid w:val="0005195A"/>
    <w:rsid w:val="000554E5"/>
    <w:rsid w:val="00055679"/>
    <w:rsid w:val="00062040"/>
    <w:rsid w:val="0006246E"/>
    <w:rsid w:val="0006497B"/>
    <w:rsid w:val="0007208B"/>
    <w:rsid w:val="000737F9"/>
    <w:rsid w:val="000761EE"/>
    <w:rsid w:val="000777E4"/>
    <w:rsid w:val="00077C34"/>
    <w:rsid w:val="000828E3"/>
    <w:rsid w:val="000841D6"/>
    <w:rsid w:val="000846AF"/>
    <w:rsid w:val="000938A9"/>
    <w:rsid w:val="00095DC8"/>
    <w:rsid w:val="000A324F"/>
    <w:rsid w:val="000A3B8A"/>
    <w:rsid w:val="000A6277"/>
    <w:rsid w:val="000A6DC4"/>
    <w:rsid w:val="000B17E3"/>
    <w:rsid w:val="000B58BD"/>
    <w:rsid w:val="000C1E82"/>
    <w:rsid w:val="000C52A3"/>
    <w:rsid w:val="000C5CF4"/>
    <w:rsid w:val="000D2C2F"/>
    <w:rsid w:val="000D4DCC"/>
    <w:rsid w:val="000E5E77"/>
    <w:rsid w:val="000E7C70"/>
    <w:rsid w:val="000F0370"/>
    <w:rsid w:val="000F24B7"/>
    <w:rsid w:val="000F6182"/>
    <w:rsid w:val="001012D9"/>
    <w:rsid w:val="00101325"/>
    <w:rsid w:val="00116560"/>
    <w:rsid w:val="00123F1B"/>
    <w:rsid w:val="001300E5"/>
    <w:rsid w:val="001309E3"/>
    <w:rsid w:val="00130F2F"/>
    <w:rsid w:val="001319BF"/>
    <w:rsid w:val="00142930"/>
    <w:rsid w:val="00150D62"/>
    <w:rsid w:val="00156858"/>
    <w:rsid w:val="00163F70"/>
    <w:rsid w:val="00165EF4"/>
    <w:rsid w:val="00167A2F"/>
    <w:rsid w:val="00173974"/>
    <w:rsid w:val="00176E15"/>
    <w:rsid w:val="00180098"/>
    <w:rsid w:val="00187483"/>
    <w:rsid w:val="001900AC"/>
    <w:rsid w:val="0019119D"/>
    <w:rsid w:val="001A508C"/>
    <w:rsid w:val="001A7121"/>
    <w:rsid w:val="001B1229"/>
    <w:rsid w:val="001B3C45"/>
    <w:rsid w:val="001B4446"/>
    <w:rsid w:val="001C2A67"/>
    <w:rsid w:val="001D2925"/>
    <w:rsid w:val="001D4B1E"/>
    <w:rsid w:val="001D7EAF"/>
    <w:rsid w:val="001E19FF"/>
    <w:rsid w:val="001E771E"/>
    <w:rsid w:val="001E7D7B"/>
    <w:rsid w:val="001F4FD3"/>
    <w:rsid w:val="0020281E"/>
    <w:rsid w:val="002034EC"/>
    <w:rsid w:val="00211C88"/>
    <w:rsid w:val="00213A98"/>
    <w:rsid w:val="0023365C"/>
    <w:rsid w:val="00235903"/>
    <w:rsid w:val="00240232"/>
    <w:rsid w:val="00242904"/>
    <w:rsid w:val="0024367D"/>
    <w:rsid w:val="0024417A"/>
    <w:rsid w:val="002445B5"/>
    <w:rsid w:val="00256B0D"/>
    <w:rsid w:val="00257CD1"/>
    <w:rsid w:val="00262E39"/>
    <w:rsid w:val="002642E8"/>
    <w:rsid w:val="002658BD"/>
    <w:rsid w:val="002676F8"/>
    <w:rsid w:val="00267E60"/>
    <w:rsid w:val="00272C9A"/>
    <w:rsid w:val="002814BE"/>
    <w:rsid w:val="00290ED0"/>
    <w:rsid w:val="002950C3"/>
    <w:rsid w:val="002A2CC7"/>
    <w:rsid w:val="002A2EE4"/>
    <w:rsid w:val="002A59F7"/>
    <w:rsid w:val="002A5EE2"/>
    <w:rsid w:val="002B09F0"/>
    <w:rsid w:val="002B3ADB"/>
    <w:rsid w:val="002C3C9F"/>
    <w:rsid w:val="002C42FB"/>
    <w:rsid w:val="002D12A8"/>
    <w:rsid w:val="002D26EC"/>
    <w:rsid w:val="002E58B2"/>
    <w:rsid w:val="002F5DFD"/>
    <w:rsid w:val="003020CB"/>
    <w:rsid w:val="00302CD2"/>
    <w:rsid w:val="00310814"/>
    <w:rsid w:val="00315A66"/>
    <w:rsid w:val="0032550B"/>
    <w:rsid w:val="00326239"/>
    <w:rsid w:val="00330E88"/>
    <w:rsid w:val="003352C1"/>
    <w:rsid w:val="0034002D"/>
    <w:rsid w:val="003460EF"/>
    <w:rsid w:val="00353BCA"/>
    <w:rsid w:val="00367922"/>
    <w:rsid w:val="00370BDE"/>
    <w:rsid w:val="003723CF"/>
    <w:rsid w:val="00375885"/>
    <w:rsid w:val="00377DA7"/>
    <w:rsid w:val="003814DC"/>
    <w:rsid w:val="00383458"/>
    <w:rsid w:val="0038589F"/>
    <w:rsid w:val="0038667C"/>
    <w:rsid w:val="00387E12"/>
    <w:rsid w:val="003930F1"/>
    <w:rsid w:val="003A2206"/>
    <w:rsid w:val="003A29A0"/>
    <w:rsid w:val="003B5312"/>
    <w:rsid w:val="003B6C15"/>
    <w:rsid w:val="003B78B6"/>
    <w:rsid w:val="003C6343"/>
    <w:rsid w:val="003D0237"/>
    <w:rsid w:val="003D2B2D"/>
    <w:rsid w:val="003D68DD"/>
    <w:rsid w:val="003E05B3"/>
    <w:rsid w:val="003F0AF5"/>
    <w:rsid w:val="003F4356"/>
    <w:rsid w:val="003F5AC7"/>
    <w:rsid w:val="00402BB6"/>
    <w:rsid w:val="00403936"/>
    <w:rsid w:val="0040774A"/>
    <w:rsid w:val="0041151F"/>
    <w:rsid w:val="00414ED4"/>
    <w:rsid w:val="004168CC"/>
    <w:rsid w:val="0042061D"/>
    <w:rsid w:val="0042177F"/>
    <w:rsid w:val="004227FB"/>
    <w:rsid w:val="0042415E"/>
    <w:rsid w:val="00426B3C"/>
    <w:rsid w:val="00427228"/>
    <w:rsid w:val="00427380"/>
    <w:rsid w:val="00440001"/>
    <w:rsid w:val="004438A3"/>
    <w:rsid w:val="00445FD8"/>
    <w:rsid w:val="00453EDB"/>
    <w:rsid w:val="004551A0"/>
    <w:rsid w:val="00465CDB"/>
    <w:rsid w:val="00471165"/>
    <w:rsid w:val="0047226E"/>
    <w:rsid w:val="0047477E"/>
    <w:rsid w:val="00480B2F"/>
    <w:rsid w:val="004846B8"/>
    <w:rsid w:val="0048583F"/>
    <w:rsid w:val="00485E4B"/>
    <w:rsid w:val="00486A1D"/>
    <w:rsid w:val="00492A05"/>
    <w:rsid w:val="0049455C"/>
    <w:rsid w:val="00495391"/>
    <w:rsid w:val="004A243B"/>
    <w:rsid w:val="004B05A5"/>
    <w:rsid w:val="004B4880"/>
    <w:rsid w:val="004C3CA4"/>
    <w:rsid w:val="004C5A02"/>
    <w:rsid w:val="004C6579"/>
    <w:rsid w:val="004D122B"/>
    <w:rsid w:val="004D3A2E"/>
    <w:rsid w:val="004E05FB"/>
    <w:rsid w:val="004E0D9C"/>
    <w:rsid w:val="004E5BB8"/>
    <w:rsid w:val="004E6594"/>
    <w:rsid w:val="004F27F9"/>
    <w:rsid w:val="0050240B"/>
    <w:rsid w:val="005027FD"/>
    <w:rsid w:val="00504DB0"/>
    <w:rsid w:val="00506CB4"/>
    <w:rsid w:val="00511E1C"/>
    <w:rsid w:val="00512BD0"/>
    <w:rsid w:val="00525C2D"/>
    <w:rsid w:val="00535206"/>
    <w:rsid w:val="00540DBE"/>
    <w:rsid w:val="005421D6"/>
    <w:rsid w:val="00544929"/>
    <w:rsid w:val="00551BD9"/>
    <w:rsid w:val="00553103"/>
    <w:rsid w:val="00555DB2"/>
    <w:rsid w:val="005566C3"/>
    <w:rsid w:val="00556E81"/>
    <w:rsid w:val="00557A2B"/>
    <w:rsid w:val="005604A7"/>
    <w:rsid w:val="00561BBB"/>
    <w:rsid w:val="0056204B"/>
    <w:rsid w:val="005634EB"/>
    <w:rsid w:val="00566255"/>
    <w:rsid w:val="00573417"/>
    <w:rsid w:val="0059100B"/>
    <w:rsid w:val="005973A4"/>
    <w:rsid w:val="005A0342"/>
    <w:rsid w:val="005A28CC"/>
    <w:rsid w:val="005A7A97"/>
    <w:rsid w:val="005C233C"/>
    <w:rsid w:val="005C6A00"/>
    <w:rsid w:val="005D29A9"/>
    <w:rsid w:val="005D3FD6"/>
    <w:rsid w:val="005D5B6A"/>
    <w:rsid w:val="005E055D"/>
    <w:rsid w:val="005E79F6"/>
    <w:rsid w:val="005F0A5F"/>
    <w:rsid w:val="005F1859"/>
    <w:rsid w:val="005F4E48"/>
    <w:rsid w:val="0061551C"/>
    <w:rsid w:val="00622A21"/>
    <w:rsid w:val="0062465B"/>
    <w:rsid w:val="00625FF2"/>
    <w:rsid w:val="00626C87"/>
    <w:rsid w:val="00631BBF"/>
    <w:rsid w:val="00642605"/>
    <w:rsid w:val="006446CB"/>
    <w:rsid w:val="00651012"/>
    <w:rsid w:val="006532FF"/>
    <w:rsid w:val="00653DD5"/>
    <w:rsid w:val="0065551C"/>
    <w:rsid w:val="00664B82"/>
    <w:rsid w:val="00671212"/>
    <w:rsid w:val="00672B3A"/>
    <w:rsid w:val="00674ACA"/>
    <w:rsid w:val="00674D36"/>
    <w:rsid w:val="00674E89"/>
    <w:rsid w:val="006811F0"/>
    <w:rsid w:val="00681A68"/>
    <w:rsid w:val="006853E8"/>
    <w:rsid w:val="00685494"/>
    <w:rsid w:val="00687F85"/>
    <w:rsid w:val="006939EA"/>
    <w:rsid w:val="00694269"/>
    <w:rsid w:val="006A17ED"/>
    <w:rsid w:val="006A180B"/>
    <w:rsid w:val="006A44B6"/>
    <w:rsid w:val="006A5595"/>
    <w:rsid w:val="006B1CC1"/>
    <w:rsid w:val="006D6C46"/>
    <w:rsid w:val="006E28DC"/>
    <w:rsid w:val="006E44AB"/>
    <w:rsid w:val="006E65A3"/>
    <w:rsid w:val="006E7CD2"/>
    <w:rsid w:val="006F0B88"/>
    <w:rsid w:val="00700C22"/>
    <w:rsid w:val="007064C9"/>
    <w:rsid w:val="00710D51"/>
    <w:rsid w:val="00716D42"/>
    <w:rsid w:val="007178A9"/>
    <w:rsid w:val="00721F6A"/>
    <w:rsid w:val="00723A89"/>
    <w:rsid w:val="00725B11"/>
    <w:rsid w:val="00730B51"/>
    <w:rsid w:val="0073324D"/>
    <w:rsid w:val="007332FE"/>
    <w:rsid w:val="00737B35"/>
    <w:rsid w:val="00746D06"/>
    <w:rsid w:val="00750881"/>
    <w:rsid w:val="007617EA"/>
    <w:rsid w:val="00767F7C"/>
    <w:rsid w:val="00772345"/>
    <w:rsid w:val="00772B17"/>
    <w:rsid w:val="0077438C"/>
    <w:rsid w:val="00780366"/>
    <w:rsid w:val="00785ED7"/>
    <w:rsid w:val="00787C56"/>
    <w:rsid w:val="0079410F"/>
    <w:rsid w:val="007A4038"/>
    <w:rsid w:val="007A4286"/>
    <w:rsid w:val="007B0C42"/>
    <w:rsid w:val="007B0D93"/>
    <w:rsid w:val="007C1562"/>
    <w:rsid w:val="007D042C"/>
    <w:rsid w:val="007D0D18"/>
    <w:rsid w:val="007E355B"/>
    <w:rsid w:val="007E5EEB"/>
    <w:rsid w:val="007E6B6E"/>
    <w:rsid w:val="007F0CB4"/>
    <w:rsid w:val="007F21CB"/>
    <w:rsid w:val="007F6603"/>
    <w:rsid w:val="00800DFF"/>
    <w:rsid w:val="00802523"/>
    <w:rsid w:val="008036A2"/>
    <w:rsid w:val="00811909"/>
    <w:rsid w:val="00827EC3"/>
    <w:rsid w:val="00830249"/>
    <w:rsid w:val="00830455"/>
    <w:rsid w:val="00835C1D"/>
    <w:rsid w:val="0084211E"/>
    <w:rsid w:val="00843DF3"/>
    <w:rsid w:val="00846733"/>
    <w:rsid w:val="00852C77"/>
    <w:rsid w:val="00856A38"/>
    <w:rsid w:val="008609EB"/>
    <w:rsid w:val="00861571"/>
    <w:rsid w:val="00867374"/>
    <w:rsid w:val="00870AEB"/>
    <w:rsid w:val="0087228C"/>
    <w:rsid w:val="00872876"/>
    <w:rsid w:val="00874F4E"/>
    <w:rsid w:val="00876750"/>
    <w:rsid w:val="00877329"/>
    <w:rsid w:val="00877F37"/>
    <w:rsid w:val="00880022"/>
    <w:rsid w:val="00880A0B"/>
    <w:rsid w:val="00880A20"/>
    <w:rsid w:val="008967B8"/>
    <w:rsid w:val="008A1D8C"/>
    <w:rsid w:val="008A3505"/>
    <w:rsid w:val="008A775F"/>
    <w:rsid w:val="008C0767"/>
    <w:rsid w:val="008C09B0"/>
    <w:rsid w:val="008C1E25"/>
    <w:rsid w:val="008C2632"/>
    <w:rsid w:val="008C35EB"/>
    <w:rsid w:val="008C3FE8"/>
    <w:rsid w:val="008D08A7"/>
    <w:rsid w:val="008D4AC8"/>
    <w:rsid w:val="008D4BA9"/>
    <w:rsid w:val="008E3604"/>
    <w:rsid w:val="008F6C1D"/>
    <w:rsid w:val="009051FE"/>
    <w:rsid w:val="00911832"/>
    <w:rsid w:val="00914B13"/>
    <w:rsid w:val="00916FCE"/>
    <w:rsid w:val="00917EB4"/>
    <w:rsid w:val="00924B07"/>
    <w:rsid w:val="00933714"/>
    <w:rsid w:val="00934979"/>
    <w:rsid w:val="00935DC4"/>
    <w:rsid w:val="0094278F"/>
    <w:rsid w:val="00944631"/>
    <w:rsid w:val="00950940"/>
    <w:rsid w:val="00957536"/>
    <w:rsid w:val="009614AB"/>
    <w:rsid w:val="00962E42"/>
    <w:rsid w:val="00963A62"/>
    <w:rsid w:val="009703EB"/>
    <w:rsid w:val="00970C26"/>
    <w:rsid w:val="00973E13"/>
    <w:rsid w:val="00973E9B"/>
    <w:rsid w:val="00983EB3"/>
    <w:rsid w:val="00984207"/>
    <w:rsid w:val="00986641"/>
    <w:rsid w:val="00993028"/>
    <w:rsid w:val="009966CD"/>
    <w:rsid w:val="009A40E2"/>
    <w:rsid w:val="009B35FB"/>
    <w:rsid w:val="009B6169"/>
    <w:rsid w:val="009C1FBB"/>
    <w:rsid w:val="009C2A45"/>
    <w:rsid w:val="009C7AA8"/>
    <w:rsid w:val="009D58CF"/>
    <w:rsid w:val="009D6649"/>
    <w:rsid w:val="009E2100"/>
    <w:rsid w:val="009E495E"/>
    <w:rsid w:val="009F6BF4"/>
    <w:rsid w:val="00A029B0"/>
    <w:rsid w:val="00A053BC"/>
    <w:rsid w:val="00A05938"/>
    <w:rsid w:val="00A06300"/>
    <w:rsid w:val="00A071AB"/>
    <w:rsid w:val="00A11A73"/>
    <w:rsid w:val="00A13582"/>
    <w:rsid w:val="00A140F1"/>
    <w:rsid w:val="00A16411"/>
    <w:rsid w:val="00A16A80"/>
    <w:rsid w:val="00A2501D"/>
    <w:rsid w:val="00A318B1"/>
    <w:rsid w:val="00A34E1F"/>
    <w:rsid w:val="00A40431"/>
    <w:rsid w:val="00A45F32"/>
    <w:rsid w:val="00A5389A"/>
    <w:rsid w:val="00A560E2"/>
    <w:rsid w:val="00A637F0"/>
    <w:rsid w:val="00A638A2"/>
    <w:rsid w:val="00A704E5"/>
    <w:rsid w:val="00A8150C"/>
    <w:rsid w:val="00A829EA"/>
    <w:rsid w:val="00A8717C"/>
    <w:rsid w:val="00A92A14"/>
    <w:rsid w:val="00A943C6"/>
    <w:rsid w:val="00A97258"/>
    <w:rsid w:val="00A97EA6"/>
    <w:rsid w:val="00A97F0C"/>
    <w:rsid w:val="00AA1178"/>
    <w:rsid w:val="00AA337F"/>
    <w:rsid w:val="00AA3B85"/>
    <w:rsid w:val="00AB4A92"/>
    <w:rsid w:val="00AB51F0"/>
    <w:rsid w:val="00AC1A79"/>
    <w:rsid w:val="00AC256C"/>
    <w:rsid w:val="00AC2EF1"/>
    <w:rsid w:val="00AC356B"/>
    <w:rsid w:val="00AC3AAF"/>
    <w:rsid w:val="00AC6024"/>
    <w:rsid w:val="00AD2C0C"/>
    <w:rsid w:val="00AD50C9"/>
    <w:rsid w:val="00AD6194"/>
    <w:rsid w:val="00AE18AC"/>
    <w:rsid w:val="00AF03A9"/>
    <w:rsid w:val="00AF4048"/>
    <w:rsid w:val="00AF44E0"/>
    <w:rsid w:val="00AF73FA"/>
    <w:rsid w:val="00AF7565"/>
    <w:rsid w:val="00B0317A"/>
    <w:rsid w:val="00B1132B"/>
    <w:rsid w:val="00B1328F"/>
    <w:rsid w:val="00B15599"/>
    <w:rsid w:val="00B16C8E"/>
    <w:rsid w:val="00B22359"/>
    <w:rsid w:val="00B303DD"/>
    <w:rsid w:val="00B41F5E"/>
    <w:rsid w:val="00B468B3"/>
    <w:rsid w:val="00B516E7"/>
    <w:rsid w:val="00B52659"/>
    <w:rsid w:val="00B62E33"/>
    <w:rsid w:val="00B657A9"/>
    <w:rsid w:val="00B7627D"/>
    <w:rsid w:val="00B80349"/>
    <w:rsid w:val="00B80372"/>
    <w:rsid w:val="00B81E4C"/>
    <w:rsid w:val="00B82B5F"/>
    <w:rsid w:val="00B934D5"/>
    <w:rsid w:val="00B957D1"/>
    <w:rsid w:val="00B97992"/>
    <w:rsid w:val="00BA6EB5"/>
    <w:rsid w:val="00BB1168"/>
    <w:rsid w:val="00BB2B2A"/>
    <w:rsid w:val="00BB44C8"/>
    <w:rsid w:val="00BB7F71"/>
    <w:rsid w:val="00BC5393"/>
    <w:rsid w:val="00BC7018"/>
    <w:rsid w:val="00BD0A92"/>
    <w:rsid w:val="00BD472F"/>
    <w:rsid w:val="00BD6775"/>
    <w:rsid w:val="00BE0A32"/>
    <w:rsid w:val="00BE5240"/>
    <w:rsid w:val="00BE54C3"/>
    <w:rsid w:val="00BE76C5"/>
    <w:rsid w:val="00BF0723"/>
    <w:rsid w:val="00BF393C"/>
    <w:rsid w:val="00BF56D7"/>
    <w:rsid w:val="00BF618B"/>
    <w:rsid w:val="00BF793D"/>
    <w:rsid w:val="00BF7F7F"/>
    <w:rsid w:val="00C0326F"/>
    <w:rsid w:val="00C039BD"/>
    <w:rsid w:val="00C11A84"/>
    <w:rsid w:val="00C13D49"/>
    <w:rsid w:val="00C33849"/>
    <w:rsid w:val="00C36160"/>
    <w:rsid w:val="00C40267"/>
    <w:rsid w:val="00C45656"/>
    <w:rsid w:val="00C50D39"/>
    <w:rsid w:val="00C51383"/>
    <w:rsid w:val="00C57986"/>
    <w:rsid w:val="00C60F9C"/>
    <w:rsid w:val="00C61D32"/>
    <w:rsid w:val="00C673CA"/>
    <w:rsid w:val="00C74842"/>
    <w:rsid w:val="00C74C99"/>
    <w:rsid w:val="00C75E82"/>
    <w:rsid w:val="00C80323"/>
    <w:rsid w:val="00C904A8"/>
    <w:rsid w:val="00C94421"/>
    <w:rsid w:val="00C946B0"/>
    <w:rsid w:val="00CA0152"/>
    <w:rsid w:val="00CA381E"/>
    <w:rsid w:val="00CC145F"/>
    <w:rsid w:val="00CC1CC5"/>
    <w:rsid w:val="00CC27F4"/>
    <w:rsid w:val="00CC2955"/>
    <w:rsid w:val="00CC30AC"/>
    <w:rsid w:val="00CC4BD1"/>
    <w:rsid w:val="00CD6529"/>
    <w:rsid w:val="00CE1C4B"/>
    <w:rsid w:val="00CE5324"/>
    <w:rsid w:val="00CF1C9A"/>
    <w:rsid w:val="00CF7AED"/>
    <w:rsid w:val="00D00906"/>
    <w:rsid w:val="00D00FA0"/>
    <w:rsid w:val="00D11104"/>
    <w:rsid w:val="00D3045E"/>
    <w:rsid w:val="00D35F69"/>
    <w:rsid w:val="00D36B70"/>
    <w:rsid w:val="00D408D2"/>
    <w:rsid w:val="00D4303F"/>
    <w:rsid w:val="00D51D9B"/>
    <w:rsid w:val="00D6130D"/>
    <w:rsid w:val="00D6146A"/>
    <w:rsid w:val="00D62A53"/>
    <w:rsid w:val="00D736FA"/>
    <w:rsid w:val="00D748F2"/>
    <w:rsid w:val="00D75F8B"/>
    <w:rsid w:val="00D858C5"/>
    <w:rsid w:val="00D87EA5"/>
    <w:rsid w:val="00D90EF9"/>
    <w:rsid w:val="00D91995"/>
    <w:rsid w:val="00D92692"/>
    <w:rsid w:val="00D957F5"/>
    <w:rsid w:val="00D96773"/>
    <w:rsid w:val="00D971B4"/>
    <w:rsid w:val="00DA036D"/>
    <w:rsid w:val="00DA46DB"/>
    <w:rsid w:val="00DA620D"/>
    <w:rsid w:val="00DB2589"/>
    <w:rsid w:val="00DC1397"/>
    <w:rsid w:val="00DC15F2"/>
    <w:rsid w:val="00DC21FD"/>
    <w:rsid w:val="00DC4B08"/>
    <w:rsid w:val="00DC555C"/>
    <w:rsid w:val="00DC62EB"/>
    <w:rsid w:val="00DC738A"/>
    <w:rsid w:val="00DD51E7"/>
    <w:rsid w:val="00DD56DE"/>
    <w:rsid w:val="00DE3645"/>
    <w:rsid w:val="00DF0F76"/>
    <w:rsid w:val="00DF2400"/>
    <w:rsid w:val="00E13A42"/>
    <w:rsid w:val="00E14578"/>
    <w:rsid w:val="00E22F7D"/>
    <w:rsid w:val="00E35A79"/>
    <w:rsid w:val="00E410D1"/>
    <w:rsid w:val="00E5434B"/>
    <w:rsid w:val="00E552D0"/>
    <w:rsid w:val="00E614F0"/>
    <w:rsid w:val="00E62820"/>
    <w:rsid w:val="00E7331C"/>
    <w:rsid w:val="00E85709"/>
    <w:rsid w:val="00E86075"/>
    <w:rsid w:val="00E9446B"/>
    <w:rsid w:val="00EA09FD"/>
    <w:rsid w:val="00EA3BE9"/>
    <w:rsid w:val="00EA7430"/>
    <w:rsid w:val="00EA7709"/>
    <w:rsid w:val="00EB0D46"/>
    <w:rsid w:val="00EB15E4"/>
    <w:rsid w:val="00EB3766"/>
    <w:rsid w:val="00EC519B"/>
    <w:rsid w:val="00ED022E"/>
    <w:rsid w:val="00ED489A"/>
    <w:rsid w:val="00ED4908"/>
    <w:rsid w:val="00ED63B5"/>
    <w:rsid w:val="00EE5374"/>
    <w:rsid w:val="00EE7E2C"/>
    <w:rsid w:val="00EF1E20"/>
    <w:rsid w:val="00EF22EF"/>
    <w:rsid w:val="00EF3F5D"/>
    <w:rsid w:val="00EF46C3"/>
    <w:rsid w:val="00EF6627"/>
    <w:rsid w:val="00EF73C9"/>
    <w:rsid w:val="00EF7CA3"/>
    <w:rsid w:val="00EF7DC4"/>
    <w:rsid w:val="00F0121E"/>
    <w:rsid w:val="00F02503"/>
    <w:rsid w:val="00F074FF"/>
    <w:rsid w:val="00F12D83"/>
    <w:rsid w:val="00F16F1D"/>
    <w:rsid w:val="00F1731E"/>
    <w:rsid w:val="00F23627"/>
    <w:rsid w:val="00F24EED"/>
    <w:rsid w:val="00F24F6A"/>
    <w:rsid w:val="00F255DC"/>
    <w:rsid w:val="00F32977"/>
    <w:rsid w:val="00F343E6"/>
    <w:rsid w:val="00F350F7"/>
    <w:rsid w:val="00F43370"/>
    <w:rsid w:val="00F53E1F"/>
    <w:rsid w:val="00F55560"/>
    <w:rsid w:val="00F60AE9"/>
    <w:rsid w:val="00F63255"/>
    <w:rsid w:val="00F6765C"/>
    <w:rsid w:val="00F71687"/>
    <w:rsid w:val="00F73047"/>
    <w:rsid w:val="00F744A2"/>
    <w:rsid w:val="00F744AB"/>
    <w:rsid w:val="00F7626E"/>
    <w:rsid w:val="00F76D7C"/>
    <w:rsid w:val="00F80059"/>
    <w:rsid w:val="00F80AB5"/>
    <w:rsid w:val="00F81265"/>
    <w:rsid w:val="00F82F97"/>
    <w:rsid w:val="00F838CB"/>
    <w:rsid w:val="00F97128"/>
    <w:rsid w:val="00FA2F64"/>
    <w:rsid w:val="00FA5917"/>
    <w:rsid w:val="00FB099A"/>
    <w:rsid w:val="00FB420D"/>
    <w:rsid w:val="00FC0C90"/>
    <w:rsid w:val="00FC2959"/>
    <w:rsid w:val="00FC7FD8"/>
    <w:rsid w:val="00FD0833"/>
    <w:rsid w:val="00FE0A65"/>
    <w:rsid w:val="00FE315B"/>
    <w:rsid w:val="00FE3C85"/>
    <w:rsid w:val="00FE5CF4"/>
    <w:rsid w:val="00FF4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3298">
      <o:colormru v:ext="edit" colors="#ffc715,#fec200"/>
      <o:colormenu v:ext="edit" fillcolor="none" strokecolor="none"/>
    </o:shapedefaults>
    <o:shapelayout v:ext="edit">
      <o:idmap v:ext="edit" data="1"/>
      <o:rules v:ext="edit">
        <o:r id="V:Rule6" type="connector" idref="#_x0000_s1028"/>
        <o:r id="V:Rule8" type="connector" idref="#_x0000_s1029"/>
        <o:r id="V:Rule10" type="connector" idref="#_x0000_s1030"/>
        <o:r id="V:Rule11" type="connector" idref="#_x0000_s1031"/>
        <o:r id="V:Rule13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1AB"/>
  </w:style>
  <w:style w:type="paragraph" w:styleId="1">
    <w:name w:val="heading 1"/>
    <w:basedOn w:val="a"/>
    <w:link w:val="10"/>
    <w:uiPriority w:val="9"/>
    <w:qFormat/>
    <w:rsid w:val="00A071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ветлая заливка - Акцент 11"/>
    <w:basedOn w:val="a1"/>
    <w:uiPriority w:val="60"/>
    <w:rsid w:val="00A071A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a4">
    <w:name w:val="Hyperlink"/>
    <w:basedOn w:val="a0"/>
    <w:uiPriority w:val="99"/>
    <w:unhideWhenUsed/>
    <w:rsid w:val="00A071AB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A07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71AB"/>
  </w:style>
  <w:style w:type="character" w:styleId="a7">
    <w:name w:val="Placeholder Text"/>
    <w:basedOn w:val="a0"/>
    <w:uiPriority w:val="99"/>
    <w:semiHidden/>
    <w:rsid w:val="00A071AB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A07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71A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A07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071AB"/>
  </w:style>
  <w:style w:type="character" w:customStyle="1" w:styleId="10">
    <w:name w:val="Заголовок 1 Знак"/>
    <w:basedOn w:val="a0"/>
    <w:link w:val="1"/>
    <w:uiPriority w:val="9"/>
    <w:rsid w:val="00A071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List Paragraph"/>
    <w:basedOn w:val="a"/>
    <w:uiPriority w:val="34"/>
    <w:qFormat/>
    <w:rsid w:val="003723CF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3723CF"/>
    <w:rPr>
      <w:color w:val="800080" w:themeColor="followedHyperlink"/>
      <w:u w:val="single"/>
    </w:rPr>
  </w:style>
  <w:style w:type="paragraph" w:customStyle="1" w:styleId="AB630D60F59F403CB531B268FE76FA17">
    <w:name w:val="AB630D60F59F403CB531B268FE76FA17"/>
    <w:rsid w:val="00123F1B"/>
    <w:rPr>
      <w:rFonts w:eastAsiaTheme="minorEastAsia"/>
      <w:lang w:eastAsia="ru-RU"/>
    </w:rPr>
  </w:style>
  <w:style w:type="paragraph" w:customStyle="1" w:styleId="b-articletext">
    <w:name w:val="b-article__text"/>
    <w:basedOn w:val="a"/>
    <w:rsid w:val="00653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A2501D"/>
    <w:rPr>
      <w:i/>
      <w:iCs/>
    </w:rPr>
  </w:style>
  <w:style w:type="paragraph" w:styleId="ae">
    <w:name w:val="endnote text"/>
    <w:basedOn w:val="a"/>
    <w:link w:val="af"/>
    <w:uiPriority w:val="99"/>
    <w:semiHidden/>
    <w:unhideWhenUsed/>
    <w:rsid w:val="00375885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375885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375885"/>
    <w:rPr>
      <w:vertAlign w:val="superscript"/>
    </w:rPr>
  </w:style>
  <w:style w:type="character" w:styleId="af1">
    <w:name w:val="Strong"/>
    <w:basedOn w:val="a0"/>
    <w:uiPriority w:val="22"/>
    <w:qFormat/>
    <w:rsid w:val="00EF7DC4"/>
    <w:rPr>
      <w:b/>
      <w:bCs/>
    </w:rPr>
  </w:style>
  <w:style w:type="table" w:customStyle="1" w:styleId="-110">
    <w:name w:val="Светлый список - Акцент 11"/>
    <w:basedOn w:val="a1"/>
    <w:uiPriority w:val="61"/>
    <w:rsid w:val="00F762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5">
    <w:name w:val="Light List Accent 5"/>
    <w:basedOn w:val="a1"/>
    <w:uiPriority w:val="61"/>
    <w:rsid w:val="00E41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af2">
    <w:name w:val="Normal (Web)"/>
    <w:basedOn w:val="a"/>
    <w:uiPriority w:val="99"/>
    <w:unhideWhenUsed/>
    <w:rsid w:val="00BC7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basedOn w:val="a0"/>
    <w:uiPriority w:val="20"/>
    <w:qFormat/>
    <w:rsid w:val="005E79F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8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0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7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6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0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5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3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9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32" Type="http://schemas.microsoft.com/office/2007/relationships/stylesWithEffects" Target="stylesWithEffects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Телефон: (342) 210-30-05Факс: (342) 210-59-69Эл. почта: info@pfc.ru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1D13EDA-A673-402F-9571-E14B7F56C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5964</TotalTime>
  <Pages>1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рыр</vt:lpstr>
    </vt:vector>
  </TitlesOfParts>
  <Company>ООО «ПФК»</Company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рыр</dc:title>
  <dc:subject/>
  <dc:creator>trader</dc:creator>
  <cp:keywords/>
  <dc:description/>
  <cp:lastModifiedBy>Коробейников Максим</cp:lastModifiedBy>
  <cp:revision>121</cp:revision>
  <dcterms:created xsi:type="dcterms:W3CDTF">2015-02-02T06:24:00Z</dcterms:created>
  <dcterms:modified xsi:type="dcterms:W3CDTF">2015-05-06T05:47:00Z</dcterms:modified>
</cp:coreProperties>
</file>